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3F8" w:rsidRDefault="004013BE">
      <w:pPr>
        <w:spacing w:line="210" w:lineRule="atLeast"/>
      </w:pPr>
      <w:r>
        <w:rPr>
          <w:rFonts w:ascii="Verdana" w:eastAsia="Verdana" w:hAnsi="Verdana" w:cs="Verdana"/>
        </w:rPr>
        <w:t>На основу члана 13. став 7. Закона о управљању привредним друштвима која су у власништву Републике Србије („Службени гласник РС”, број 76/23),</w:t>
      </w:r>
    </w:p>
    <w:p w:rsidR="005173F8" w:rsidRDefault="004013BE">
      <w:pPr>
        <w:spacing w:line="210" w:lineRule="atLeast"/>
      </w:pPr>
      <w:r>
        <w:rPr>
          <w:rFonts w:ascii="Verdana" w:eastAsia="Verdana" w:hAnsi="Verdana" w:cs="Verdana"/>
        </w:rPr>
        <w:t>Министар привреде доноси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садржају и начину спровођења смерница којима се утврђују општи годишњи циљеви друштава капитала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"Службени гласник РС", број 78 од 26. августа 2026.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Овим правилником прописује се садржај и начин спровођења општих</w:t>
      </w:r>
      <w:r>
        <w:rPr>
          <w:rFonts w:ascii="Verdana" w:eastAsia="Verdana" w:hAnsi="Verdana" w:cs="Verdana"/>
        </w:rPr>
        <w:t xml:space="preserve"> годишњих циљева друштава капитала који се утврђују кроз годишње смернице за управљање (у даљем тексту: Смернице).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Члан 2.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Смерницама се утврђују годишњи циљеви друштва капитала (у даљем тексту: општи циљ) са мерама и упутствима за њихово остваривање, а на</w:t>
      </w:r>
      <w:r>
        <w:rPr>
          <w:rFonts w:ascii="Verdana" w:eastAsia="Verdana" w:hAnsi="Verdana" w:cs="Verdana"/>
        </w:rPr>
        <w:t>рочито имајући у виду област и сложеност пословања, величину, власничку структуру, као и остале критеријуме од значаја за друштво капитала, у складу са Законом.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:rsidR="005173F8" w:rsidRDefault="004013BE">
      <w:pPr>
        <w:spacing w:line="210" w:lineRule="atLeast"/>
      </w:pPr>
      <w:r>
        <w:rPr>
          <w:rFonts w:ascii="Verdana" w:eastAsia="Verdana" w:hAnsi="Verdana" w:cs="Verdana"/>
        </w:rPr>
        <w:t>Смернице садрже: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1) утврђен општи циљ за наредну годину усклађен са циљевима централизо</w:t>
      </w:r>
      <w:r>
        <w:rPr>
          <w:rFonts w:ascii="Verdana" w:eastAsia="Verdana" w:hAnsi="Verdana" w:cs="Verdana"/>
        </w:rPr>
        <w:t>ваног власничког управљања;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2) мере и упутство за остваривање општег циља;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3) утврђени износ нето трошкова за пружене јавне услуге и начин обезбеђивања средстава за њихову надокнаду ради остваривања циљева јавног сектора;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4) друге мере потребне за пословањ</w:t>
      </w:r>
      <w:r>
        <w:rPr>
          <w:rFonts w:ascii="Verdana" w:eastAsia="Verdana" w:hAnsi="Verdana" w:cs="Verdana"/>
        </w:rPr>
        <w:t>е друштва капитала на годишњем нивоу.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Општи циљ за наредну годину изражава очекиване резултате пословања друштва капитала.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Општи циљ утврђује се као финансијски или нефинансијски општи циљ.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Финансијски општи циљ утврђује се према мерилима з</w:t>
      </w:r>
      <w:r>
        <w:rPr>
          <w:rFonts w:ascii="Verdana" w:eastAsia="Verdana" w:hAnsi="Verdana" w:cs="Verdana"/>
        </w:rPr>
        <w:t>а остваривање профитабилности, финансијске стабилности, ликвидности, ефикасне наплате потраживања, као и према другим мерљивим финансијским показатељима.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Нефинансијски општи циљ утврђује се према специфичностима делатности које друштво капитала обавља (нпр</w:t>
      </w:r>
      <w:r>
        <w:rPr>
          <w:rFonts w:ascii="Verdana" w:eastAsia="Verdana" w:hAnsi="Verdana" w:cs="Verdana"/>
        </w:rPr>
        <w:t>. обиму, квалитету и доступности добара и/или услуга, задовољству корисника, иновацијама, одрживости пословања, утицају на животну средину, друштвеној одговорности) а по потреби и другим мерљивим показатељима.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lastRenderedPageBreak/>
        <w:t>Члан 6.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Друштва капитала најкасније до 1. авгу</w:t>
      </w:r>
      <w:r>
        <w:rPr>
          <w:rFonts w:ascii="Verdana" w:eastAsia="Verdana" w:hAnsi="Verdana" w:cs="Verdana"/>
        </w:rPr>
        <w:t>ста текуће године достављају предлоге за израду Смерница, у штампаном формату на адресу: Министарство привреде, Кнеза Милоша 20, Београд и електронским путем на мејл: komisijazasmernice@privreda.gov.rs.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Смернице се достављају друштву капитала у пап</w:t>
      </w:r>
      <w:r>
        <w:rPr>
          <w:rFonts w:ascii="Verdana" w:eastAsia="Verdana" w:hAnsi="Verdana" w:cs="Verdana"/>
        </w:rPr>
        <w:t>ирном облику путем поште и електронским путем.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Смернице се спроводе реализацијом општег годишњег циља.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У складу са утврђеним општим циљем, у годишњем плану пословања друштва капитала дефинишу се посебни циљеви са кључним показатељима учинка и идентификују се ризици за њихово остварење, у складу са Законом и овим правилником.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Посебни циљеви представљају разр</w:t>
      </w:r>
      <w:r>
        <w:rPr>
          <w:rFonts w:ascii="Verdana" w:eastAsia="Verdana" w:hAnsi="Verdana" w:cs="Verdana"/>
        </w:rPr>
        <w:t>аду и конкретизацију општег циља за који се утврђује одговарајући кључни показатељ учинка.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 xml:space="preserve">Кључни показатељ учинка у смислу овог правилника је индикатор којим се мери остварење посебног циља и за који се приказује почетна вредност, циљана вредност, период </w:t>
      </w:r>
      <w:r>
        <w:rPr>
          <w:rFonts w:ascii="Verdana" w:eastAsia="Verdana" w:hAnsi="Verdana" w:cs="Verdana"/>
        </w:rPr>
        <w:t>у којем се циљана вредност остварује и извор провере.</w:t>
      </w:r>
    </w:p>
    <w:p w:rsidR="005173F8" w:rsidRDefault="004013BE">
      <w:pPr>
        <w:spacing w:line="210" w:lineRule="atLeast"/>
        <w:jc w:val="center"/>
      </w:pPr>
      <w:r>
        <w:rPr>
          <w:rFonts w:ascii="Verdana" w:eastAsia="Verdana" w:hAnsi="Verdana" w:cs="Verdana"/>
        </w:rPr>
        <w:t>Члан 9.</w:t>
      </w:r>
    </w:p>
    <w:p w:rsidR="005173F8" w:rsidRDefault="004013BE" w:rsidP="004013BE">
      <w:pPr>
        <w:spacing w:line="210" w:lineRule="atLeast"/>
        <w:jc w:val="both"/>
      </w:pPr>
      <w:r>
        <w:rPr>
          <w:rFonts w:ascii="Verdana" w:eastAsia="Verdana" w:hAnsi="Verdana" w:cs="Verdana"/>
        </w:rPr>
        <w:t>Овај правилник ступа на снагу наредног дана од дана објављивања у „Службеном гласнику Републике Србије”, осим одредбе члана 3. тачка 3) овог правилника која се примењује од 1. јануара 2028. годи</w:t>
      </w:r>
      <w:r>
        <w:rPr>
          <w:rFonts w:ascii="Verdana" w:eastAsia="Verdana" w:hAnsi="Verdana" w:cs="Verdana"/>
        </w:rPr>
        <w:t>не.</w:t>
      </w:r>
    </w:p>
    <w:p w:rsidR="005173F8" w:rsidRDefault="004013BE">
      <w:pPr>
        <w:spacing w:line="210" w:lineRule="atLeast"/>
        <w:jc w:val="right"/>
      </w:pPr>
      <w:bookmarkStart w:id="0" w:name="_GoBack"/>
      <w:bookmarkEnd w:id="0"/>
      <w:r>
        <w:rPr>
          <w:rFonts w:ascii="Verdana" w:eastAsia="Verdana" w:hAnsi="Verdana" w:cs="Verdana"/>
        </w:rPr>
        <w:t>Број 001254830 2025 10810 009 001 012 001</w:t>
      </w:r>
    </w:p>
    <w:p w:rsidR="005173F8" w:rsidRDefault="004013BE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Београду, 19. августа 2026. године</w:t>
      </w:r>
    </w:p>
    <w:p w:rsidR="005173F8" w:rsidRDefault="004013BE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:rsidR="005173F8" w:rsidRDefault="004013BE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 xml:space="preserve">Адријана Месаровић, </w:t>
      </w:r>
      <w:r>
        <w:rPr>
          <w:rFonts w:ascii="Verdana" w:eastAsia="Verdana" w:hAnsi="Verdana" w:cs="Verdana"/>
        </w:rPr>
        <w:t>с.р.</w:t>
      </w:r>
    </w:p>
    <w:sectPr w:rsidR="005173F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F8"/>
    <w:rsid w:val="004013BE"/>
    <w:rsid w:val="0051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0AF3"/>
  <w15:docId w15:val="{F8C3C10C-A3C2-4EF3-91D4-5FF35F68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Pegan</dc:creator>
  <cp:lastModifiedBy>Ministarstvo privrede</cp:lastModifiedBy>
  <cp:revision>2</cp:revision>
  <dcterms:created xsi:type="dcterms:W3CDTF">2026-09-22T07:25:00Z</dcterms:created>
  <dcterms:modified xsi:type="dcterms:W3CDTF">2026-09-22T07:25:00Z</dcterms:modified>
</cp:coreProperties>
</file>