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3981" w14:textId="77777777" w:rsidR="00F62F2E" w:rsidRPr="000F020F" w:rsidRDefault="00F62F2E" w:rsidP="005F230B">
      <w:pPr>
        <w:spacing w:after="0" w:line="240" w:lineRule="auto"/>
        <w:rPr>
          <w:rFonts w:ascii="Times New Roman" w:eastAsia="Times New Roman" w:hAnsi="Times New Roman" w:cs="Times New Roman"/>
          <w:bCs/>
          <w:sz w:val="24"/>
          <w:szCs w:val="24"/>
          <w:lang w:val="sr-Cyrl-RS" w:eastAsia="en-GB"/>
        </w:rPr>
      </w:pPr>
    </w:p>
    <w:p w14:paraId="0F4B9B29" w14:textId="154ECE08" w:rsidR="00F62F2E" w:rsidRPr="004831AB" w:rsidRDefault="00F62F2E" w:rsidP="005F230B">
      <w:pPr>
        <w:spacing w:after="0" w:line="240" w:lineRule="auto"/>
        <w:ind w:firstLine="720"/>
        <w:rPr>
          <w:rFonts w:ascii="Times New Roman" w:eastAsia="Times New Roman" w:hAnsi="Times New Roman" w:cs="Arial"/>
          <w:sz w:val="24"/>
          <w:lang w:val="sr-Cyrl-CS"/>
        </w:rPr>
      </w:pPr>
      <w:r w:rsidRPr="004831AB">
        <w:rPr>
          <w:rFonts w:ascii="Times New Roman" w:eastAsia="Times New Roman" w:hAnsi="Times New Roman" w:cs="Arial"/>
          <w:sz w:val="24"/>
          <w:lang w:val="sr-Cyrl-CS"/>
        </w:rPr>
        <w:t xml:space="preserve">На основу члана 38. став 1. Закона о планском систему </w:t>
      </w:r>
      <w:r w:rsidR="00EE4DD0" w:rsidRPr="004831AB">
        <w:rPr>
          <w:rFonts w:ascii="Times New Roman" w:eastAsia="Times New Roman" w:hAnsi="Times New Roman" w:cs="Arial"/>
          <w:sz w:val="24"/>
          <w:lang w:val="sr-Cyrl-CS"/>
        </w:rPr>
        <w:t>Републике С</w:t>
      </w:r>
      <w:r w:rsidR="00650873" w:rsidRPr="004831AB">
        <w:rPr>
          <w:rFonts w:ascii="Times New Roman" w:eastAsia="Times New Roman" w:hAnsi="Times New Roman" w:cs="Arial"/>
          <w:sz w:val="24"/>
          <w:lang w:val="sr-Cyrl-CS"/>
        </w:rPr>
        <w:t>рбије</w:t>
      </w:r>
      <w:r w:rsidR="005F230B" w:rsidRPr="004831AB">
        <w:rPr>
          <w:rFonts w:ascii="Times New Roman" w:eastAsia="Times New Roman" w:hAnsi="Times New Roman" w:cs="Arial"/>
          <w:sz w:val="24"/>
          <w:lang w:val="sr-Cyrl-CS"/>
        </w:rPr>
        <w:t xml:space="preserve"> </w:t>
      </w:r>
      <w:r w:rsidRPr="004831AB">
        <w:rPr>
          <w:rFonts w:ascii="Times New Roman" w:eastAsia="Times New Roman" w:hAnsi="Times New Roman" w:cs="Arial"/>
          <w:sz w:val="24"/>
          <w:lang w:val="sr-Cyrl-CS"/>
        </w:rPr>
        <w:t>(„Службени гласник РС</w:t>
      </w:r>
      <w:r w:rsidR="00790731" w:rsidRPr="004831AB">
        <w:rPr>
          <w:rFonts w:ascii="Times New Roman" w:hAnsi="Times New Roman" w:cs="Times New Roman"/>
          <w:sz w:val="24"/>
          <w:szCs w:val="24"/>
          <w:lang w:val="sr-Cyrl-CS"/>
        </w:rPr>
        <w:t>”</w:t>
      </w:r>
      <w:r w:rsidR="005F230B" w:rsidRPr="004831AB">
        <w:rPr>
          <w:rFonts w:ascii="Times New Roman" w:hAnsi="Times New Roman" w:cs="Times New Roman"/>
          <w:sz w:val="24"/>
          <w:szCs w:val="24"/>
          <w:lang w:val="sr-Cyrl-CS"/>
        </w:rPr>
        <w:t>,</w:t>
      </w:r>
      <w:r w:rsidR="00790731" w:rsidRPr="004831AB">
        <w:rPr>
          <w:rFonts w:ascii="Times New Roman" w:hAnsi="Times New Roman" w:cs="Times New Roman"/>
          <w:sz w:val="24"/>
          <w:szCs w:val="24"/>
          <w:lang w:val="sr-Cyrl-CS"/>
        </w:rPr>
        <w:t xml:space="preserve"> </w:t>
      </w:r>
      <w:r w:rsidRPr="004831AB">
        <w:rPr>
          <w:rFonts w:ascii="Times New Roman" w:eastAsia="Times New Roman" w:hAnsi="Times New Roman" w:cs="Arial"/>
          <w:sz w:val="24"/>
          <w:lang w:val="sr-Cyrl-CS"/>
        </w:rPr>
        <w:t>број 30/18)</w:t>
      </w:r>
      <w:r w:rsidR="00EC3732" w:rsidRPr="004831AB">
        <w:rPr>
          <w:rFonts w:ascii="Times New Roman" w:eastAsia="Times New Roman" w:hAnsi="Times New Roman" w:cs="Arial"/>
          <w:sz w:val="24"/>
          <w:lang w:val="sr-Cyrl-CS"/>
        </w:rPr>
        <w:t>,</w:t>
      </w:r>
      <w:r w:rsidR="002A0F6C" w:rsidRPr="004831AB">
        <w:rPr>
          <w:rFonts w:ascii="Times New Roman" w:eastAsia="Times New Roman" w:hAnsi="Times New Roman" w:cs="Arial"/>
          <w:sz w:val="24"/>
          <w:lang w:val="sr-Cyrl-CS"/>
        </w:rPr>
        <w:t xml:space="preserve"> </w:t>
      </w:r>
    </w:p>
    <w:p w14:paraId="3A0F1F2A" w14:textId="77777777" w:rsidR="005F230B" w:rsidRPr="004831AB" w:rsidRDefault="005F230B" w:rsidP="005F230B">
      <w:pPr>
        <w:spacing w:after="0" w:line="240" w:lineRule="auto"/>
        <w:ind w:firstLine="720"/>
        <w:rPr>
          <w:rFonts w:ascii="Times New Roman" w:eastAsia="Times New Roman" w:hAnsi="Times New Roman" w:cs="Arial"/>
          <w:sz w:val="24"/>
          <w:lang w:val="sr-Cyrl-CS"/>
        </w:rPr>
      </w:pPr>
    </w:p>
    <w:p w14:paraId="628C1E01" w14:textId="7CD3E328" w:rsidR="00F62F2E" w:rsidRPr="004831AB" w:rsidRDefault="00F62F2E" w:rsidP="005F230B">
      <w:pPr>
        <w:spacing w:after="0" w:line="240" w:lineRule="auto"/>
        <w:ind w:firstLine="720"/>
        <w:rPr>
          <w:rFonts w:ascii="Times New Roman" w:eastAsia="Times New Roman" w:hAnsi="Times New Roman" w:cs="Times New Roman"/>
          <w:bCs/>
          <w:sz w:val="24"/>
          <w:szCs w:val="24"/>
          <w:lang w:val="sr-Cyrl-CS" w:eastAsia="en-GB"/>
        </w:rPr>
      </w:pPr>
      <w:r w:rsidRPr="004831AB">
        <w:rPr>
          <w:rFonts w:ascii="Times New Roman" w:eastAsia="Times New Roman" w:hAnsi="Times New Roman" w:cs="Times New Roman"/>
          <w:bCs/>
          <w:sz w:val="24"/>
          <w:szCs w:val="24"/>
          <w:lang w:val="sr-Cyrl-CS" w:eastAsia="en-GB"/>
        </w:rPr>
        <w:t xml:space="preserve">Влада </w:t>
      </w:r>
      <w:r w:rsidR="003A44E1" w:rsidRPr="004831AB">
        <w:rPr>
          <w:rFonts w:ascii="Times New Roman" w:eastAsia="Times New Roman" w:hAnsi="Times New Roman" w:cs="Times New Roman"/>
          <w:bCs/>
          <w:sz w:val="24"/>
          <w:szCs w:val="24"/>
          <w:lang w:val="sr-Cyrl-CS" w:eastAsia="en-GB"/>
        </w:rPr>
        <w:t>усваја</w:t>
      </w:r>
    </w:p>
    <w:p w14:paraId="0CB60F1D" w14:textId="6A46F288" w:rsidR="00FB525A" w:rsidRPr="004831AB" w:rsidRDefault="00FB525A" w:rsidP="005F230B">
      <w:pPr>
        <w:spacing w:after="0" w:line="240" w:lineRule="auto"/>
        <w:jc w:val="both"/>
        <w:rPr>
          <w:rFonts w:ascii="Times New Roman" w:hAnsi="Times New Roman" w:cs="Times New Roman"/>
          <w:sz w:val="24"/>
          <w:szCs w:val="24"/>
          <w:lang w:val="sr-Cyrl-CS"/>
        </w:rPr>
      </w:pPr>
    </w:p>
    <w:p w14:paraId="1128FA6B" w14:textId="77777777" w:rsidR="00EC3732" w:rsidRPr="004831AB" w:rsidRDefault="00F62F2E" w:rsidP="005F230B">
      <w:pPr>
        <w:spacing w:after="0" w:line="240" w:lineRule="auto"/>
        <w:jc w:val="center"/>
        <w:rPr>
          <w:rFonts w:ascii="Times New Roman" w:eastAsia="Times New Roman" w:hAnsi="Times New Roman" w:cs="Times New Roman"/>
          <w:bCs/>
          <w:sz w:val="24"/>
          <w:szCs w:val="24"/>
          <w:lang w:val="sr-Cyrl-CS" w:eastAsia="en-GB"/>
        </w:rPr>
      </w:pPr>
      <w:r w:rsidRPr="004831AB">
        <w:rPr>
          <w:rFonts w:ascii="Times New Roman" w:eastAsia="Times New Roman" w:hAnsi="Times New Roman" w:cs="Times New Roman"/>
          <w:bCs/>
          <w:sz w:val="24"/>
          <w:szCs w:val="24"/>
          <w:lang w:val="sr-Cyrl-CS" w:eastAsia="en-GB"/>
        </w:rPr>
        <w:t xml:space="preserve">СТРАТЕГИЈУ </w:t>
      </w:r>
    </w:p>
    <w:p w14:paraId="0DA980A7" w14:textId="5DE45633" w:rsidR="00FB525A" w:rsidRPr="004831AB" w:rsidRDefault="00F62F2E" w:rsidP="005F230B">
      <w:pPr>
        <w:spacing w:after="0" w:line="240" w:lineRule="auto"/>
        <w:jc w:val="center"/>
        <w:rPr>
          <w:rFonts w:ascii="Times New Roman" w:eastAsia="Times New Roman" w:hAnsi="Times New Roman" w:cs="Times New Roman"/>
          <w:bCs/>
          <w:sz w:val="24"/>
          <w:szCs w:val="24"/>
          <w:lang w:val="sr-Cyrl-CS" w:eastAsia="en-GB"/>
        </w:rPr>
      </w:pPr>
      <w:r w:rsidRPr="004831AB">
        <w:rPr>
          <w:rFonts w:ascii="Times New Roman" w:eastAsia="Times New Roman" w:hAnsi="Times New Roman" w:cs="Times New Roman"/>
          <w:bCs/>
          <w:sz w:val="24"/>
          <w:szCs w:val="24"/>
          <w:lang w:val="sr-Cyrl-CS" w:eastAsia="en-GB"/>
        </w:rPr>
        <w:t>ЗА РАЗВОЈ МАЛИХ И СРЕДЊИХ ПРЕДУЗЕЋА ЗА ПЕРИОД ОД 2023. ДО 2027. ГОДИНЕ, СА АКЦИОНИМ ПЛАНОМ</w:t>
      </w:r>
      <w:r w:rsidR="00C84965" w:rsidRPr="004831AB">
        <w:rPr>
          <w:rFonts w:ascii="Times New Roman" w:eastAsia="Times New Roman" w:hAnsi="Times New Roman" w:cs="Times New Roman"/>
          <w:bCs/>
          <w:sz w:val="24"/>
          <w:szCs w:val="24"/>
          <w:lang w:val="sr-Cyrl-CS" w:eastAsia="en-GB"/>
        </w:rPr>
        <w:t xml:space="preserve"> ЗА ПЕРИОД</w:t>
      </w:r>
      <w:r w:rsidR="00810ADC" w:rsidRPr="004831AB">
        <w:rPr>
          <w:rFonts w:ascii="Times New Roman" w:eastAsia="Times New Roman" w:hAnsi="Times New Roman" w:cs="Times New Roman"/>
          <w:bCs/>
          <w:sz w:val="24"/>
          <w:szCs w:val="24"/>
          <w:lang w:val="sr-Cyrl-CS" w:eastAsia="en-GB"/>
        </w:rPr>
        <w:t xml:space="preserve"> ОД  2023</w:t>
      </w:r>
      <w:r w:rsidR="00923182">
        <w:rPr>
          <w:rFonts w:ascii="Times New Roman" w:eastAsia="Times New Roman" w:hAnsi="Times New Roman" w:cs="Times New Roman"/>
          <w:bCs/>
          <w:sz w:val="24"/>
          <w:szCs w:val="24"/>
          <w:lang w:val="sr-Cyrl-CS" w:eastAsia="en-GB"/>
        </w:rPr>
        <w:t>.</w:t>
      </w:r>
      <w:r w:rsidR="00810ADC" w:rsidRPr="004831AB">
        <w:rPr>
          <w:rFonts w:ascii="Times New Roman" w:eastAsia="Times New Roman" w:hAnsi="Times New Roman" w:cs="Times New Roman"/>
          <w:bCs/>
          <w:sz w:val="24"/>
          <w:szCs w:val="24"/>
          <w:lang w:val="sr-Cyrl-CS" w:eastAsia="en-GB"/>
        </w:rPr>
        <w:t xml:space="preserve"> ДО </w:t>
      </w:r>
      <w:r w:rsidR="00C84965" w:rsidRPr="004831AB">
        <w:rPr>
          <w:rFonts w:ascii="Times New Roman" w:eastAsia="Times New Roman" w:hAnsi="Times New Roman" w:cs="Times New Roman"/>
          <w:bCs/>
          <w:sz w:val="24"/>
          <w:szCs w:val="24"/>
          <w:lang w:val="sr-Cyrl-CS" w:eastAsia="en-GB"/>
        </w:rPr>
        <w:t>2024. ГОДИНЕ</w:t>
      </w:r>
    </w:p>
    <w:p w14:paraId="6F6E49CF" w14:textId="0B6B33C7" w:rsidR="00FB525A" w:rsidRPr="004831AB" w:rsidRDefault="00FB525A" w:rsidP="005F230B">
      <w:pPr>
        <w:spacing w:after="0" w:line="240" w:lineRule="auto"/>
        <w:jc w:val="both"/>
        <w:rPr>
          <w:rFonts w:ascii="Times New Roman" w:hAnsi="Times New Roman" w:cs="Times New Roman"/>
          <w:sz w:val="24"/>
          <w:szCs w:val="24"/>
          <w:lang w:val="sr-Cyrl-CS"/>
        </w:rPr>
      </w:pPr>
    </w:p>
    <w:p w14:paraId="2AAE05BA" w14:textId="77777777" w:rsidR="005F230B" w:rsidRPr="004831AB" w:rsidRDefault="005F230B" w:rsidP="005F230B">
      <w:pPr>
        <w:spacing w:after="0" w:line="240" w:lineRule="auto"/>
        <w:jc w:val="both"/>
        <w:rPr>
          <w:rFonts w:ascii="Times New Roman" w:hAnsi="Times New Roman" w:cs="Times New Roman"/>
          <w:sz w:val="24"/>
          <w:szCs w:val="24"/>
          <w:lang w:val="sr-Cyrl-CS"/>
        </w:rPr>
      </w:pPr>
    </w:p>
    <w:p w14:paraId="75127A70" w14:textId="77777777" w:rsidR="00D94739" w:rsidRPr="004831AB" w:rsidRDefault="00B25EF2" w:rsidP="008840BC">
      <w:pPr>
        <w:pStyle w:val="Heading1"/>
        <w:spacing w:before="0" w:after="0" w:line="240" w:lineRule="auto"/>
        <w:jc w:val="center"/>
        <w:rPr>
          <w:b w:val="0"/>
          <w:sz w:val="24"/>
          <w:szCs w:val="24"/>
          <w:lang w:val="sr-Cyrl-CS"/>
        </w:rPr>
      </w:pPr>
      <w:r w:rsidRPr="004831AB">
        <w:rPr>
          <w:b w:val="0"/>
          <w:sz w:val="24"/>
          <w:szCs w:val="24"/>
          <w:lang w:val="sr-Cyrl-CS"/>
        </w:rPr>
        <w:t>Увод</w:t>
      </w:r>
    </w:p>
    <w:p w14:paraId="10F30C45" w14:textId="77777777" w:rsidR="00C47343" w:rsidRPr="004831AB" w:rsidRDefault="00C47343" w:rsidP="008840BC">
      <w:pPr>
        <w:spacing w:after="0" w:line="240" w:lineRule="auto"/>
        <w:rPr>
          <w:lang w:val="sr-Cyrl-CS"/>
        </w:rPr>
      </w:pPr>
    </w:p>
    <w:p w14:paraId="4B703CA1" w14:textId="77777777" w:rsidR="008840BC" w:rsidRPr="004831AB" w:rsidRDefault="00D94739" w:rsidP="008840BC">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складу са Законом о министарствима </w:t>
      </w:r>
      <w:r w:rsidR="00B7697F" w:rsidRPr="004831AB">
        <w:rPr>
          <w:rFonts w:ascii="Times New Roman" w:hAnsi="Times New Roman" w:cs="Times New Roman"/>
          <w:sz w:val="24"/>
          <w:szCs w:val="24"/>
          <w:lang w:val="sr-Cyrl-CS"/>
        </w:rPr>
        <w:t>(„С</w:t>
      </w:r>
      <w:r w:rsidR="001F7BDD" w:rsidRPr="004831AB">
        <w:rPr>
          <w:rFonts w:ascii="Times New Roman" w:hAnsi="Times New Roman" w:cs="Times New Roman"/>
          <w:sz w:val="24"/>
          <w:szCs w:val="24"/>
          <w:lang w:val="sr-Cyrl-CS"/>
        </w:rPr>
        <w:t>лужбени гласник РС</w:t>
      </w:r>
      <w:r w:rsidR="001F3BDC" w:rsidRPr="004831AB">
        <w:rPr>
          <w:rFonts w:ascii="Times New Roman" w:hAnsi="Times New Roman" w:cs="Times New Roman"/>
          <w:sz w:val="24"/>
          <w:szCs w:val="24"/>
          <w:lang w:val="sr-Cyrl-CS"/>
        </w:rPr>
        <w:t>”</w:t>
      </w:r>
      <w:r w:rsidR="00B7697F" w:rsidRPr="004831AB">
        <w:rPr>
          <w:rFonts w:ascii="Times New Roman" w:hAnsi="Times New Roman" w:cs="Times New Roman"/>
          <w:sz w:val="24"/>
          <w:szCs w:val="24"/>
          <w:lang w:val="sr-Cyrl-CS"/>
        </w:rPr>
        <w:t>, бр</w:t>
      </w:r>
      <w:r w:rsidR="001F3BDC" w:rsidRPr="004831AB">
        <w:rPr>
          <w:rFonts w:ascii="Times New Roman" w:hAnsi="Times New Roman" w:cs="Times New Roman"/>
          <w:sz w:val="24"/>
          <w:szCs w:val="24"/>
          <w:lang w:val="sr-Cyrl-CS"/>
        </w:rPr>
        <w:t>.</w:t>
      </w:r>
      <w:r w:rsidR="001F7BDD" w:rsidRPr="004831AB">
        <w:rPr>
          <w:rFonts w:ascii="Times New Roman" w:hAnsi="Times New Roman" w:cs="Times New Roman"/>
          <w:sz w:val="24"/>
          <w:szCs w:val="24"/>
          <w:lang w:val="sr-Cyrl-CS"/>
        </w:rPr>
        <w:t xml:space="preserve"> 128/</w:t>
      </w:r>
      <w:r w:rsidR="00B7697F" w:rsidRPr="004831AB">
        <w:rPr>
          <w:rFonts w:ascii="Times New Roman" w:hAnsi="Times New Roman" w:cs="Times New Roman"/>
          <w:sz w:val="24"/>
          <w:szCs w:val="24"/>
          <w:lang w:val="sr-Cyrl-CS"/>
        </w:rPr>
        <w:t>20</w:t>
      </w:r>
      <w:r w:rsidR="00003A9C" w:rsidRPr="004831AB">
        <w:rPr>
          <w:rFonts w:ascii="Times New Roman" w:hAnsi="Times New Roman" w:cs="Times New Roman"/>
          <w:sz w:val="24"/>
          <w:szCs w:val="24"/>
          <w:lang w:val="sr-Cyrl-CS"/>
        </w:rPr>
        <w:t xml:space="preserve"> и 116</w:t>
      </w:r>
      <w:r w:rsidR="001F7BDD" w:rsidRPr="004831AB">
        <w:rPr>
          <w:rFonts w:ascii="Times New Roman" w:hAnsi="Times New Roman" w:cs="Times New Roman"/>
          <w:sz w:val="24"/>
          <w:szCs w:val="24"/>
          <w:lang w:val="sr-Cyrl-CS"/>
        </w:rPr>
        <w:t>/</w:t>
      </w:r>
      <w:r w:rsidR="00003A9C" w:rsidRPr="004831AB">
        <w:rPr>
          <w:rFonts w:ascii="Times New Roman" w:hAnsi="Times New Roman" w:cs="Times New Roman"/>
          <w:sz w:val="24"/>
          <w:szCs w:val="24"/>
          <w:lang w:val="sr-Cyrl-CS"/>
        </w:rPr>
        <w:t>22</w:t>
      </w:r>
      <w:r w:rsidR="00B7697F"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Министарство привреде надлежно је, између осталог, за утврђивање политика и стратегија привредног развоја и за мере економске политике за развој </w:t>
      </w:r>
      <w:r w:rsidR="003F49BF" w:rsidRPr="004831AB">
        <w:rPr>
          <w:rFonts w:ascii="Times New Roman" w:hAnsi="Times New Roman" w:cs="Times New Roman"/>
          <w:sz w:val="24"/>
          <w:szCs w:val="24"/>
          <w:lang w:val="sr-Cyrl-CS"/>
        </w:rPr>
        <w:t>малих и средњих предузећа и предузетника (</w:t>
      </w:r>
      <w:r w:rsidR="007D5D0C" w:rsidRPr="004831AB">
        <w:rPr>
          <w:rFonts w:ascii="Times New Roman" w:hAnsi="Times New Roman" w:cs="Times New Roman"/>
          <w:sz w:val="24"/>
          <w:szCs w:val="24"/>
          <w:lang w:val="sr-Cyrl-CS"/>
        </w:rPr>
        <w:t xml:space="preserve">у даљем тексту: </w:t>
      </w:r>
      <w:r w:rsidRPr="004831AB">
        <w:rPr>
          <w:rFonts w:ascii="Times New Roman" w:hAnsi="Times New Roman" w:cs="Times New Roman"/>
          <w:sz w:val="24"/>
          <w:szCs w:val="24"/>
          <w:lang w:val="sr-Cyrl-CS"/>
        </w:rPr>
        <w:t>МСПП</w:t>
      </w:r>
      <w:r w:rsidR="003F49BF"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 xml:space="preserve">и занатства. </w:t>
      </w:r>
    </w:p>
    <w:p w14:paraId="60F01EC9" w14:textId="7AAC9F82" w:rsidR="00D94739" w:rsidRPr="004831AB" w:rsidRDefault="00D94739" w:rsidP="008840BC">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p>
    <w:p w14:paraId="76D9E7D9" w14:textId="74FF2942" w:rsidR="00D94739" w:rsidRPr="004831AB" w:rsidRDefault="00D94739" w:rsidP="00213C68">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претходном периоду </w:t>
      </w:r>
      <w:r w:rsidR="00D36A97" w:rsidRPr="004831AB">
        <w:rPr>
          <w:rFonts w:ascii="Times New Roman" w:hAnsi="Times New Roman" w:cs="Times New Roman"/>
          <w:sz w:val="24"/>
          <w:szCs w:val="24"/>
          <w:lang w:val="sr-Cyrl-CS"/>
        </w:rPr>
        <w:t xml:space="preserve">јавна политика у овој области била је дефинисана </w:t>
      </w:r>
      <w:r w:rsidRPr="004831AB">
        <w:rPr>
          <w:rFonts w:ascii="Times New Roman" w:hAnsi="Times New Roman" w:cs="Times New Roman"/>
          <w:sz w:val="24"/>
          <w:szCs w:val="24"/>
          <w:lang w:val="sr-Cyrl-CS"/>
        </w:rPr>
        <w:t>Стратегиј</w:t>
      </w:r>
      <w:r w:rsidR="00D36A97" w:rsidRPr="004831AB">
        <w:rPr>
          <w:rFonts w:ascii="Times New Roman" w:hAnsi="Times New Roman" w:cs="Times New Roman"/>
          <w:sz w:val="24"/>
          <w:szCs w:val="24"/>
          <w:lang w:val="sr-Cyrl-CS"/>
        </w:rPr>
        <w:t>ом</w:t>
      </w:r>
      <w:r w:rsidRPr="004831AB">
        <w:rPr>
          <w:rFonts w:ascii="Times New Roman" w:hAnsi="Times New Roman" w:cs="Times New Roman"/>
          <w:sz w:val="24"/>
          <w:szCs w:val="24"/>
          <w:lang w:val="sr-Cyrl-CS"/>
        </w:rPr>
        <w:t xml:space="preserve"> за подршку развоја</w:t>
      </w:r>
      <w:r w:rsidR="0025667F" w:rsidRPr="004831AB">
        <w:rPr>
          <w:rFonts w:ascii="Times New Roman" w:hAnsi="Times New Roman" w:cs="Times New Roman"/>
          <w:sz w:val="24"/>
          <w:szCs w:val="24"/>
          <w:lang w:val="sr-Cyrl-CS"/>
        </w:rPr>
        <w:t xml:space="preserve"> малих и средњих предузећа, предузетништва </w:t>
      </w:r>
      <w:r w:rsidRPr="004831AB">
        <w:rPr>
          <w:rFonts w:ascii="Times New Roman" w:hAnsi="Times New Roman" w:cs="Times New Roman"/>
          <w:sz w:val="24"/>
          <w:szCs w:val="24"/>
          <w:lang w:val="sr-Cyrl-CS"/>
        </w:rPr>
        <w:t xml:space="preserve">и конкурентности </w:t>
      </w:r>
      <w:r w:rsidR="00E31E15" w:rsidRPr="004831AB">
        <w:rPr>
          <w:rFonts w:ascii="Times New Roman" w:hAnsi="Times New Roman" w:cs="Times New Roman"/>
          <w:sz w:val="24"/>
          <w:szCs w:val="24"/>
          <w:lang w:val="sr-Cyrl-CS"/>
        </w:rPr>
        <w:t xml:space="preserve">за период </w:t>
      </w:r>
      <w:r w:rsidRPr="004831AB">
        <w:rPr>
          <w:rFonts w:ascii="Times New Roman" w:hAnsi="Times New Roman" w:cs="Times New Roman"/>
          <w:sz w:val="24"/>
          <w:szCs w:val="24"/>
          <w:lang w:val="sr-Cyrl-CS"/>
        </w:rPr>
        <w:t xml:space="preserve">2015 – 2020. </w:t>
      </w:r>
      <w:r w:rsidR="00A55852" w:rsidRPr="004831AB">
        <w:rPr>
          <w:rFonts w:ascii="Times New Roman" w:hAnsi="Times New Roman" w:cs="Times New Roman"/>
          <w:sz w:val="24"/>
          <w:szCs w:val="24"/>
          <w:lang w:val="sr-Cyrl-CS"/>
        </w:rPr>
        <w:t>г</w:t>
      </w:r>
      <w:r w:rsidRPr="004831AB">
        <w:rPr>
          <w:rFonts w:ascii="Times New Roman" w:hAnsi="Times New Roman" w:cs="Times New Roman"/>
          <w:sz w:val="24"/>
          <w:szCs w:val="24"/>
          <w:lang w:val="sr-Cyrl-CS"/>
        </w:rPr>
        <w:t>одине</w:t>
      </w:r>
      <w:r w:rsidR="00656FE3" w:rsidRPr="004831AB">
        <w:rPr>
          <w:rFonts w:ascii="Times New Roman" w:hAnsi="Times New Roman" w:cs="Times New Roman"/>
          <w:sz w:val="24"/>
          <w:szCs w:val="24"/>
          <w:lang w:val="sr-Cyrl-CS"/>
        </w:rPr>
        <w:t xml:space="preserve"> („Службени гласник РС”, број 35/15, </w:t>
      </w:r>
      <w:r w:rsidR="00CE177C" w:rsidRPr="004831AB">
        <w:rPr>
          <w:rFonts w:ascii="Times New Roman" w:hAnsi="Times New Roman" w:cs="Times New Roman"/>
          <w:sz w:val="24"/>
          <w:szCs w:val="24"/>
          <w:lang w:val="sr-Cyrl-CS"/>
        </w:rPr>
        <w:t>у даљем тексту: Стратегија МСПП)</w:t>
      </w:r>
      <w:r w:rsidR="00E31E15" w:rsidRPr="004831AB">
        <w:rPr>
          <w:rFonts w:ascii="Times New Roman" w:hAnsi="Times New Roman" w:cs="Times New Roman"/>
          <w:sz w:val="24"/>
          <w:szCs w:val="24"/>
          <w:lang w:val="sr-Cyrl-CS"/>
        </w:rPr>
        <w:t xml:space="preserve">, заједно са </w:t>
      </w:r>
      <w:r w:rsidR="00A55852" w:rsidRPr="004831AB">
        <w:rPr>
          <w:rFonts w:ascii="Times New Roman" w:hAnsi="Times New Roman" w:cs="Times New Roman"/>
          <w:sz w:val="24"/>
          <w:szCs w:val="24"/>
          <w:lang w:val="sr-Cyrl-CS"/>
        </w:rPr>
        <w:t xml:space="preserve">пратећим </w:t>
      </w:r>
      <w:r w:rsidR="00E31E15" w:rsidRPr="004831AB">
        <w:rPr>
          <w:rFonts w:ascii="Times New Roman" w:hAnsi="Times New Roman" w:cs="Times New Roman"/>
          <w:sz w:val="24"/>
          <w:szCs w:val="24"/>
          <w:lang w:val="sr-Cyrl-CS"/>
        </w:rPr>
        <w:t>Акционим планом</w:t>
      </w:r>
      <w:r w:rsidR="00D36A97" w:rsidRPr="004831AB">
        <w:rPr>
          <w:rFonts w:ascii="Times New Roman" w:hAnsi="Times New Roman" w:cs="Times New Roman"/>
          <w:sz w:val="24"/>
          <w:szCs w:val="24"/>
          <w:lang w:val="sr-Cyrl-CS"/>
        </w:rPr>
        <w:t>.</w:t>
      </w:r>
    </w:p>
    <w:p w14:paraId="20A06014" w14:textId="5822B898" w:rsidR="00224006" w:rsidRPr="004831AB" w:rsidRDefault="00D36A97" w:rsidP="00213C68">
      <w:pPr>
        <w:spacing w:after="24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w:t>
      </w:r>
      <w:r w:rsidR="00A55852" w:rsidRPr="004831AB">
        <w:rPr>
          <w:rFonts w:ascii="Times New Roman" w:hAnsi="Times New Roman" w:cs="Times New Roman"/>
          <w:sz w:val="24"/>
          <w:szCs w:val="24"/>
          <w:lang w:val="sr-Cyrl-CS"/>
        </w:rPr>
        <w:t xml:space="preserve"> циљ</w:t>
      </w:r>
      <w:r w:rsidRPr="004831AB">
        <w:rPr>
          <w:rFonts w:ascii="Times New Roman" w:hAnsi="Times New Roman" w:cs="Times New Roman"/>
          <w:sz w:val="24"/>
          <w:szCs w:val="24"/>
          <w:lang w:val="sr-Cyrl-CS"/>
        </w:rPr>
        <w:t>у</w:t>
      </w:r>
      <w:r w:rsidR="00A55852" w:rsidRPr="004831AB">
        <w:rPr>
          <w:rFonts w:ascii="Times New Roman" w:hAnsi="Times New Roman" w:cs="Times New Roman"/>
          <w:sz w:val="24"/>
          <w:szCs w:val="24"/>
          <w:lang w:val="sr-Cyrl-CS"/>
        </w:rPr>
        <w:t xml:space="preserve"> остваривања</w:t>
      </w:r>
      <w:r w:rsidR="00D94739" w:rsidRPr="004831AB">
        <w:rPr>
          <w:rFonts w:ascii="Times New Roman" w:hAnsi="Times New Roman" w:cs="Times New Roman"/>
          <w:sz w:val="24"/>
          <w:szCs w:val="24"/>
          <w:lang w:val="sr-Cyrl-CS"/>
        </w:rPr>
        <w:t xml:space="preserve"> континуитета </w:t>
      </w:r>
      <w:r w:rsidRPr="004831AB">
        <w:rPr>
          <w:rFonts w:ascii="Times New Roman" w:hAnsi="Times New Roman" w:cs="Times New Roman"/>
          <w:sz w:val="24"/>
          <w:szCs w:val="24"/>
          <w:lang w:val="sr-Cyrl-CS"/>
        </w:rPr>
        <w:t xml:space="preserve">утврђивања и спровођења </w:t>
      </w:r>
      <w:r w:rsidR="00D94739" w:rsidRPr="004831AB">
        <w:rPr>
          <w:rFonts w:ascii="Times New Roman" w:hAnsi="Times New Roman" w:cs="Times New Roman"/>
          <w:sz w:val="24"/>
          <w:szCs w:val="24"/>
          <w:lang w:val="sr-Cyrl-CS"/>
        </w:rPr>
        <w:t>јавних политика</w:t>
      </w:r>
      <w:r w:rsidRPr="004831AB">
        <w:rPr>
          <w:rFonts w:ascii="Times New Roman" w:hAnsi="Times New Roman" w:cs="Times New Roman"/>
          <w:sz w:val="24"/>
          <w:szCs w:val="24"/>
          <w:lang w:val="sr-Cyrl-CS"/>
        </w:rPr>
        <w:t xml:space="preserve"> у овој области</w:t>
      </w:r>
      <w:r w:rsidR="00D94739" w:rsidRPr="004831AB">
        <w:rPr>
          <w:rFonts w:ascii="Times New Roman" w:hAnsi="Times New Roman" w:cs="Times New Roman"/>
          <w:sz w:val="24"/>
          <w:szCs w:val="24"/>
          <w:lang w:val="sr-Cyrl-CS"/>
        </w:rPr>
        <w:t>,  Министарство привреде у марту 2022. године</w:t>
      </w:r>
      <w:r w:rsidR="00A55852" w:rsidRPr="004831AB">
        <w:rPr>
          <w:rFonts w:ascii="Times New Roman" w:hAnsi="Times New Roman" w:cs="Times New Roman"/>
          <w:sz w:val="24"/>
          <w:szCs w:val="24"/>
          <w:lang w:val="sr-Cyrl-CS"/>
        </w:rPr>
        <w:t xml:space="preserve">, </w:t>
      </w:r>
      <w:r w:rsidR="00D94739" w:rsidRPr="004831AB">
        <w:rPr>
          <w:rFonts w:ascii="Times New Roman" w:hAnsi="Times New Roman" w:cs="Times New Roman"/>
          <w:sz w:val="24"/>
          <w:szCs w:val="24"/>
          <w:lang w:val="sr-Cyrl-CS"/>
        </w:rPr>
        <w:t>започело</w:t>
      </w:r>
      <w:r w:rsidR="00A55852" w:rsidRPr="004831AB">
        <w:rPr>
          <w:rFonts w:ascii="Times New Roman" w:hAnsi="Times New Roman" w:cs="Times New Roman"/>
          <w:sz w:val="24"/>
          <w:szCs w:val="24"/>
          <w:lang w:val="sr-Cyrl-CS"/>
        </w:rPr>
        <w:t xml:space="preserve"> је</w:t>
      </w:r>
      <w:r w:rsidR="00D94739" w:rsidRPr="004831AB">
        <w:rPr>
          <w:rFonts w:ascii="Times New Roman" w:hAnsi="Times New Roman" w:cs="Times New Roman"/>
          <w:sz w:val="24"/>
          <w:szCs w:val="24"/>
          <w:lang w:val="sr-Cyrl-CS"/>
        </w:rPr>
        <w:t xml:space="preserve"> рад на новом документу јавне политике</w:t>
      </w:r>
      <w:r w:rsidR="00A55852" w:rsidRPr="004831AB">
        <w:rPr>
          <w:rFonts w:ascii="Times New Roman" w:hAnsi="Times New Roman" w:cs="Times New Roman"/>
          <w:sz w:val="24"/>
          <w:szCs w:val="24"/>
          <w:lang w:val="sr-Cyrl-CS"/>
        </w:rPr>
        <w:t xml:space="preserve"> – Стратегији </w:t>
      </w:r>
      <w:r w:rsidR="001F3BDC" w:rsidRPr="004831AB">
        <w:rPr>
          <w:rFonts w:ascii="Times New Roman" w:hAnsi="Times New Roman" w:cs="Times New Roman"/>
          <w:sz w:val="24"/>
          <w:szCs w:val="24"/>
          <w:lang w:val="sr-Cyrl-CS"/>
        </w:rPr>
        <w:t>за развој</w:t>
      </w:r>
      <w:r w:rsidR="00EC30A2" w:rsidRPr="004831AB">
        <w:rPr>
          <w:rFonts w:ascii="Times New Roman" w:hAnsi="Times New Roman" w:cs="Times New Roman"/>
          <w:sz w:val="24"/>
          <w:szCs w:val="24"/>
          <w:lang w:val="sr-Cyrl-CS"/>
        </w:rPr>
        <w:t xml:space="preserve"> малих и средњих предузећа</w:t>
      </w:r>
      <w:r w:rsidR="00A55852" w:rsidRPr="004831AB">
        <w:rPr>
          <w:rFonts w:ascii="Times New Roman" w:hAnsi="Times New Roman" w:cs="Times New Roman"/>
          <w:sz w:val="24"/>
          <w:szCs w:val="24"/>
          <w:lang w:val="sr-Cyrl-CS"/>
        </w:rPr>
        <w:t xml:space="preserve"> за период </w:t>
      </w:r>
      <w:r w:rsidR="00A05287" w:rsidRPr="004831AB">
        <w:rPr>
          <w:rFonts w:ascii="Times New Roman" w:hAnsi="Times New Roman" w:cs="Times New Roman"/>
          <w:sz w:val="24"/>
          <w:szCs w:val="24"/>
          <w:lang w:val="sr-Cyrl-CS"/>
        </w:rPr>
        <w:t>од 2023. до</w:t>
      </w:r>
      <w:r w:rsidR="00A55852" w:rsidRPr="004831AB">
        <w:rPr>
          <w:rFonts w:ascii="Times New Roman" w:hAnsi="Times New Roman" w:cs="Times New Roman"/>
          <w:sz w:val="24"/>
          <w:szCs w:val="24"/>
          <w:lang w:val="sr-Cyrl-CS"/>
        </w:rPr>
        <w:t xml:space="preserve"> 2027. године</w:t>
      </w:r>
      <w:r w:rsidR="00682B8B" w:rsidRPr="004831AB">
        <w:rPr>
          <w:rFonts w:ascii="Times New Roman" w:hAnsi="Times New Roman" w:cs="Times New Roman"/>
          <w:sz w:val="24"/>
          <w:szCs w:val="24"/>
          <w:lang w:val="sr-Cyrl-CS"/>
        </w:rPr>
        <w:t xml:space="preserve"> </w:t>
      </w:r>
      <w:r w:rsidR="005B679E" w:rsidRPr="004831AB">
        <w:rPr>
          <w:rFonts w:ascii="Times New Roman" w:hAnsi="Times New Roman" w:cs="Times New Roman"/>
          <w:sz w:val="24"/>
          <w:szCs w:val="24"/>
          <w:lang w:val="sr-Cyrl-CS"/>
        </w:rPr>
        <w:t xml:space="preserve">са Акционим планом за период </w:t>
      </w:r>
      <w:r w:rsidR="00A05287" w:rsidRPr="004831AB">
        <w:rPr>
          <w:rFonts w:ascii="Times New Roman" w:hAnsi="Times New Roman" w:cs="Times New Roman"/>
          <w:sz w:val="24"/>
          <w:szCs w:val="24"/>
          <w:lang w:val="sr-Cyrl-CS"/>
        </w:rPr>
        <w:t xml:space="preserve">од 2023. до </w:t>
      </w:r>
      <w:r w:rsidR="005B679E" w:rsidRPr="004831AB">
        <w:rPr>
          <w:rFonts w:ascii="Times New Roman" w:hAnsi="Times New Roman" w:cs="Times New Roman"/>
          <w:sz w:val="24"/>
          <w:szCs w:val="24"/>
          <w:lang w:val="sr-Cyrl-CS"/>
        </w:rPr>
        <w:t xml:space="preserve">2024. године </w:t>
      </w:r>
      <w:r w:rsidR="00682B8B" w:rsidRPr="004831AB">
        <w:rPr>
          <w:rFonts w:ascii="Times New Roman" w:hAnsi="Times New Roman" w:cs="Times New Roman"/>
          <w:sz w:val="24"/>
          <w:szCs w:val="24"/>
          <w:lang w:val="sr-Cyrl-CS"/>
        </w:rPr>
        <w:t>(у даљем тексту: Стратегија)</w:t>
      </w:r>
      <w:r w:rsidR="00A55852" w:rsidRPr="004831AB">
        <w:rPr>
          <w:rFonts w:ascii="Times New Roman" w:hAnsi="Times New Roman" w:cs="Times New Roman"/>
          <w:sz w:val="24"/>
          <w:szCs w:val="24"/>
          <w:lang w:val="sr-Cyrl-CS"/>
        </w:rPr>
        <w:t xml:space="preserve">. </w:t>
      </w:r>
      <w:r w:rsidR="00224006" w:rsidRPr="004831AB">
        <w:rPr>
          <w:rFonts w:ascii="Times New Roman" w:hAnsi="Times New Roman" w:cs="Times New Roman"/>
          <w:sz w:val="24"/>
          <w:szCs w:val="24"/>
          <w:lang w:val="sr-Cyrl-CS"/>
        </w:rPr>
        <w:t xml:space="preserve">Имајући у виду да је сектор МСПП диверзификован и обухвата различите правне форме и модалитете пословања привредних субјеката, а како би се оптимизовала </w:t>
      </w:r>
      <w:r w:rsidR="00912367" w:rsidRPr="004831AB">
        <w:rPr>
          <w:rFonts w:ascii="Times New Roman" w:hAnsi="Times New Roman" w:cs="Times New Roman"/>
          <w:bCs/>
          <w:sz w:val="24"/>
          <w:szCs w:val="24"/>
          <w:lang w:val="sr-Cyrl-CS"/>
        </w:rPr>
        <w:t>употреба термина</w:t>
      </w:r>
      <w:r w:rsidR="00224006" w:rsidRPr="004831AB">
        <w:rPr>
          <w:rFonts w:ascii="Times New Roman" w:hAnsi="Times New Roman" w:cs="Times New Roman"/>
          <w:sz w:val="24"/>
          <w:szCs w:val="24"/>
          <w:lang w:val="sr-Cyrl-CS"/>
        </w:rPr>
        <w:t xml:space="preserve"> и обезбедио континуитет са претходним развојним документима, термин МСПП</w:t>
      </w:r>
      <w:r w:rsidR="006830A9" w:rsidRPr="004831AB">
        <w:rPr>
          <w:rFonts w:ascii="Times New Roman" w:hAnsi="Times New Roman" w:cs="Times New Roman"/>
          <w:sz w:val="24"/>
          <w:szCs w:val="24"/>
          <w:lang w:val="sr-Cyrl-CS"/>
        </w:rPr>
        <w:t>,</w:t>
      </w:r>
      <w:r w:rsidR="00224006" w:rsidRPr="004831AB">
        <w:rPr>
          <w:rFonts w:ascii="Times New Roman" w:hAnsi="Times New Roman" w:cs="Times New Roman"/>
          <w:sz w:val="24"/>
          <w:szCs w:val="24"/>
          <w:lang w:val="sr-Cyrl-CS"/>
        </w:rPr>
        <w:t xml:space="preserve"> који ће бити коришћен у тексту ове </w:t>
      </w:r>
      <w:r w:rsidR="00CE020C" w:rsidRPr="004831AB">
        <w:rPr>
          <w:rFonts w:ascii="Times New Roman" w:hAnsi="Times New Roman" w:cs="Times New Roman"/>
          <w:sz w:val="24"/>
          <w:szCs w:val="24"/>
          <w:lang w:val="sr-Cyrl-CS"/>
        </w:rPr>
        <w:t>с</w:t>
      </w:r>
      <w:r w:rsidR="00224006" w:rsidRPr="004831AB">
        <w:rPr>
          <w:rFonts w:ascii="Times New Roman" w:hAnsi="Times New Roman" w:cs="Times New Roman"/>
          <w:sz w:val="24"/>
          <w:szCs w:val="24"/>
          <w:lang w:val="sr-Cyrl-CS"/>
        </w:rPr>
        <w:t>тратегије, обухвата микро, мала и средња привредна друштва, задруге</w:t>
      </w:r>
      <w:r w:rsidR="00CE020C" w:rsidRPr="004831AB">
        <w:rPr>
          <w:rFonts w:ascii="Times New Roman" w:hAnsi="Times New Roman" w:cs="Times New Roman"/>
          <w:sz w:val="24"/>
          <w:szCs w:val="24"/>
          <w:lang w:val="sr-Cyrl-CS"/>
        </w:rPr>
        <w:t>,</w:t>
      </w:r>
      <w:r w:rsidR="00224006" w:rsidRPr="004831AB">
        <w:rPr>
          <w:rFonts w:ascii="Times New Roman" w:hAnsi="Times New Roman" w:cs="Times New Roman"/>
          <w:sz w:val="24"/>
          <w:szCs w:val="24"/>
          <w:lang w:val="sr-Cyrl-CS"/>
        </w:rPr>
        <w:t xml:space="preserve"> предузетнике и све подгрупе </w:t>
      </w:r>
      <w:r w:rsidR="00912367" w:rsidRPr="004831AB">
        <w:rPr>
          <w:rFonts w:ascii="Times New Roman" w:hAnsi="Times New Roman" w:cs="Times New Roman"/>
          <w:sz w:val="24"/>
          <w:szCs w:val="24"/>
          <w:lang w:val="sr-Cyrl-CS"/>
        </w:rPr>
        <w:t>ових правних лица</w:t>
      </w:r>
      <w:r w:rsidR="00224006" w:rsidRPr="004831AB">
        <w:rPr>
          <w:rFonts w:ascii="Times New Roman" w:hAnsi="Times New Roman" w:cs="Times New Roman"/>
          <w:sz w:val="24"/>
          <w:szCs w:val="24"/>
          <w:lang w:val="sr-Cyrl-CS"/>
        </w:rPr>
        <w:t xml:space="preserve"> као што су жене предузетници и занатлије.  </w:t>
      </w:r>
    </w:p>
    <w:p w14:paraId="439296A3" w14:textId="509518F6" w:rsidR="004247ED" w:rsidRPr="004831AB" w:rsidRDefault="000264A7" w:rsidP="00213C68">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w:t>
      </w:r>
      <w:r w:rsidR="004247ED" w:rsidRPr="004831AB">
        <w:rPr>
          <w:rFonts w:ascii="Times New Roman" w:hAnsi="Times New Roman" w:cs="Times New Roman"/>
          <w:sz w:val="24"/>
          <w:szCs w:val="24"/>
          <w:lang w:val="sr-Cyrl-CS"/>
        </w:rPr>
        <w:t xml:space="preserve"> мају 2022. године, Министарство привреде формирало је Радну групу за израду </w:t>
      </w:r>
      <w:r w:rsidR="007E5D5C" w:rsidRPr="004831AB">
        <w:rPr>
          <w:rFonts w:ascii="Times New Roman" w:hAnsi="Times New Roman" w:cs="Times New Roman"/>
          <w:sz w:val="24"/>
          <w:szCs w:val="24"/>
          <w:lang w:val="sr-Cyrl-CS"/>
        </w:rPr>
        <w:t xml:space="preserve">Предлога </w:t>
      </w:r>
      <w:r w:rsidR="000F020F" w:rsidRPr="004831AB">
        <w:rPr>
          <w:rFonts w:ascii="Times New Roman" w:hAnsi="Times New Roman" w:cs="Times New Roman"/>
          <w:sz w:val="24"/>
          <w:szCs w:val="24"/>
          <w:lang w:val="sr-Cyrl-CS"/>
        </w:rPr>
        <w:t>стратегије</w:t>
      </w:r>
      <w:r w:rsidR="00D36A97" w:rsidRPr="004831AB">
        <w:rPr>
          <w:rFonts w:ascii="Times New Roman" w:hAnsi="Times New Roman" w:cs="Times New Roman"/>
          <w:sz w:val="24"/>
          <w:szCs w:val="24"/>
          <w:lang w:val="sr-Cyrl-CS"/>
        </w:rPr>
        <w:t>, у коју су позвани да делегирају чланове сви</w:t>
      </w:r>
      <w:r w:rsidR="004247ED" w:rsidRPr="004831AB">
        <w:rPr>
          <w:rFonts w:ascii="Times New Roman" w:hAnsi="Times New Roman" w:cs="Times New Roman"/>
          <w:sz w:val="24"/>
          <w:szCs w:val="24"/>
          <w:lang w:val="sr-Cyrl-CS"/>
        </w:rPr>
        <w:t xml:space="preserve"> орган</w:t>
      </w:r>
      <w:r w:rsidR="00D36A97" w:rsidRPr="004831AB">
        <w:rPr>
          <w:rFonts w:ascii="Times New Roman" w:hAnsi="Times New Roman" w:cs="Times New Roman"/>
          <w:sz w:val="24"/>
          <w:szCs w:val="24"/>
          <w:lang w:val="sr-Cyrl-CS"/>
        </w:rPr>
        <w:t>и</w:t>
      </w:r>
      <w:r w:rsidR="004247ED" w:rsidRPr="004831AB">
        <w:rPr>
          <w:rFonts w:ascii="Times New Roman" w:hAnsi="Times New Roman" w:cs="Times New Roman"/>
          <w:sz w:val="24"/>
          <w:szCs w:val="24"/>
          <w:lang w:val="sr-Cyrl-CS"/>
        </w:rPr>
        <w:t xml:space="preserve"> државне управе који су идентификовани као релевантни за будуће правце развоја сектора МСПП у </w:t>
      </w:r>
      <w:r w:rsidR="00882A10" w:rsidRPr="004831AB">
        <w:rPr>
          <w:rFonts w:ascii="Times New Roman" w:hAnsi="Times New Roman" w:cs="Times New Roman"/>
          <w:sz w:val="24"/>
          <w:szCs w:val="24"/>
          <w:lang w:val="sr-Cyrl-CS"/>
        </w:rPr>
        <w:t xml:space="preserve">Републици </w:t>
      </w:r>
      <w:r w:rsidR="004247ED" w:rsidRPr="004831AB">
        <w:rPr>
          <w:rFonts w:ascii="Times New Roman" w:hAnsi="Times New Roman" w:cs="Times New Roman"/>
          <w:sz w:val="24"/>
          <w:szCs w:val="24"/>
          <w:lang w:val="sr-Cyrl-CS"/>
        </w:rPr>
        <w:t>Србији.</w:t>
      </w:r>
      <w:r w:rsidR="00D36A97" w:rsidRPr="004831AB">
        <w:rPr>
          <w:rFonts w:ascii="Times New Roman" w:hAnsi="Times New Roman" w:cs="Times New Roman"/>
          <w:sz w:val="24"/>
          <w:szCs w:val="24"/>
          <w:lang w:val="sr-Cyrl-CS"/>
        </w:rPr>
        <w:t xml:space="preserve"> Радом радне групе руководило је </w:t>
      </w:r>
      <w:r w:rsidR="004247ED" w:rsidRPr="004831AB">
        <w:rPr>
          <w:rFonts w:ascii="Times New Roman" w:hAnsi="Times New Roman" w:cs="Times New Roman"/>
          <w:sz w:val="24"/>
          <w:szCs w:val="24"/>
          <w:lang w:val="sr-Cyrl-CS"/>
        </w:rPr>
        <w:t>Министарство привреде, а чланов</w:t>
      </w:r>
      <w:r w:rsidR="00D36A97" w:rsidRPr="004831AB">
        <w:rPr>
          <w:rFonts w:ascii="Times New Roman" w:hAnsi="Times New Roman" w:cs="Times New Roman"/>
          <w:sz w:val="24"/>
          <w:szCs w:val="24"/>
          <w:lang w:val="sr-Cyrl-CS"/>
        </w:rPr>
        <w:t>е су чинили</w:t>
      </w:r>
      <w:r w:rsidR="004247ED" w:rsidRPr="004831AB">
        <w:rPr>
          <w:rFonts w:ascii="Times New Roman" w:hAnsi="Times New Roman" w:cs="Times New Roman"/>
          <w:sz w:val="24"/>
          <w:szCs w:val="24"/>
          <w:lang w:val="sr-Cyrl-CS"/>
        </w:rPr>
        <w:t xml:space="preserve"> представници: Министарства просвете, науке и технолошког развоја, Министарства рударства и енергетике, Министарства за рад, запошљавање, борачка и социјална питања, </w:t>
      </w:r>
      <w:r w:rsidR="00F81963" w:rsidRPr="004831AB">
        <w:rPr>
          <w:rFonts w:ascii="Times New Roman" w:hAnsi="Times New Roman" w:cs="Times New Roman"/>
          <w:sz w:val="24"/>
          <w:szCs w:val="24"/>
          <w:lang w:val="sr-Cyrl-CS"/>
        </w:rPr>
        <w:t>Министарства заштите животне средине, Министарства трговине, туризма и телекомуникација, Министарства за људска и мањинска права и друштвени дијалог, Министарства омладине и спорта</w:t>
      </w:r>
      <w:r w:rsidR="007F20A7" w:rsidRPr="004831AB">
        <w:rPr>
          <w:rFonts w:ascii="Times New Roman" w:hAnsi="Times New Roman" w:cs="Times New Roman"/>
          <w:sz w:val="24"/>
          <w:szCs w:val="24"/>
          <w:lang w:val="sr-Cyrl-CS"/>
        </w:rPr>
        <w:t xml:space="preserve"> и</w:t>
      </w:r>
      <w:r w:rsidR="00F81963" w:rsidRPr="004831AB">
        <w:rPr>
          <w:rFonts w:ascii="Times New Roman" w:hAnsi="Times New Roman" w:cs="Times New Roman"/>
          <w:sz w:val="24"/>
          <w:szCs w:val="24"/>
          <w:lang w:val="sr-Cyrl-CS"/>
        </w:rPr>
        <w:t xml:space="preserve"> Кабинета министра без портфеља задуженог за иновације и технолошки развој. Такође, своје представнике делегирала је и Привредна комора Србије (</w:t>
      </w:r>
      <w:r w:rsidR="00E54606" w:rsidRPr="004831AB">
        <w:rPr>
          <w:rFonts w:ascii="Times New Roman" w:hAnsi="Times New Roman" w:cs="Times New Roman"/>
          <w:sz w:val="24"/>
          <w:szCs w:val="24"/>
          <w:lang w:val="sr-Cyrl-CS"/>
        </w:rPr>
        <w:t xml:space="preserve"> </w:t>
      </w:r>
      <w:r w:rsidR="00584997" w:rsidRPr="004831AB">
        <w:rPr>
          <w:rFonts w:ascii="Times New Roman" w:hAnsi="Times New Roman" w:cs="Times New Roman"/>
          <w:sz w:val="24"/>
          <w:szCs w:val="24"/>
          <w:lang w:val="sr-Cyrl-CS"/>
        </w:rPr>
        <w:t>у</w:t>
      </w:r>
      <w:r w:rsidR="00E54606" w:rsidRPr="004831AB">
        <w:rPr>
          <w:rFonts w:ascii="Times New Roman" w:hAnsi="Times New Roman" w:cs="Times New Roman"/>
          <w:sz w:val="24"/>
          <w:szCs w:val="24"/>
          <w:lang w:val="sr-Cyrl-CS"/>
        </w:rPr>
        <w:t xml:space="preserve"> даљем тексту:</w:t>
      </w:r>
      <w:r w:rsidR="00894D13" w:rsidRPr="004831AB">
        <w:rPr>
          <w:rFonts w:ascii="Times New Roman" w:hAnsi="Times New Roman" w:cs="Times New Roman"/>
          <w:sz w:val="24"/>
          <w:szCs w:val="24"/>
          <w:lang w:val="sr-Cyrl-CS"/>
        </w:rPr>
        <w:t xml:space="preserve"> </w:t>
      </w:r>
      <w:r w:rsidR="00F81963" w:rsidRPr="004831AB">
        <w:rPr>
          <w:rFonts w:ascii="Times New Roman" w:hAnsi="Times New Roman" w:cs="Times New Roman"/>
          <w:sz w:val="24"/>
          <w:szCs w:val="24"/>
          <w:lang w:val="sr-Cyrl-CS"/>
        </w:rPr>
        <w:t xml:space="preserve">ПКС). </w:t>
      </w:r>
    </w:p>
    <w:p w14:paraId="69A9CDF8" w14:textId="7AECEADC" w:rsidR="00F81963" w:rsidRPr="004831AB" w:rsidRDefault="00F81963" w:rsidP="00213C68">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Изради </w:t>
      </w:r>
      <w:r w:rsidR="00682B8B" w:rsidRPr="004831AB">
        <w:rPr>
          <w:rFonts w:ascii="Times New Roman" w:hAnsi="Times New Roman" w:cs="Times New Roman"/>
          <w:sz w:val="24"/>
          <w:szCs w:val="24"/>
          <w:lang w:val="sr-Cyrl-CS"/>
        </w:rPr>
        <w:t xml:space="preserve">текста Стратегије претходила је </w:t>
      </w:r>
      <w:r w:rsidR="0010792D" w:rsidRPr="004831AB">
        <w:rPr>
          <w:rFonts w:ascii="Times New Roman" w:hAnsi="Times New Roman" w:cs="Times New Roman"/>
          <w:i/>
          <w:iCs/>
          <w:sz w:val="24"/>
          <w:szCs w:val="24"/>
          <w:lang w:val="sr-Cyrl-CS"/>
        </w:rPr>
        <w:t>e</w:t>
      </w:r>
      <w:r w:rsidR="00682B8B" w:rsidRPr="004831AB">
        <w:rPr>
          <w:rFonts w:ascii="Times New Roman" w:hAnsi="Times New Roman" w:cs="Times New Roman"/>
          <w:i/>
          <w:iCs/>
          <w:sz w:val="24"/>
          <w:szCs w:val="24"/>
          <w:lang w:val="sr-Cyrl-CS"/>
        </w:rPr>
        <w:t>x-post</w:t>
      </w:r>
      <w:r w:rsidR="00682B8B" w:rsidRPr="004831AB">
        <w:rPr>
          <w:rFonts w:ascii="Times New Roman" w:hAnsi="Times New Roman" w:cs="Times New Roman"/>
          <w:sz w:val="24"/>
          <w:szCs w:val="24"/>
          <w:lang w:val="sr-Cyrl-CS"/>
        </w:rPr>
        <w:t xml:space="preserve"> анализа ефеката спровођења претходног документа јавне политике</w:t>
      </w:r>
      <w:r w:rsidR="007D5D0C" w:rsidRPr="004831AB">
        <w:rPr>
          <w:rFonts w:ascii="Times New Roman" w:hAnsi="Times New Roman" w:cs="Times New Roman"/>
          <w:sz w:val="24"/>
          <w:szCs w:val="24"/>
          <w:lang w:val="sr-Cyrl-CS"/>
        </w:rPr>
        <w:t xml:space="preserve"> за </w:t>
      </w:r>
      <w:r w:rsidR="001F3BDC" w:rsidRPr="004831AB">
        <w:rPr>
          <w:rFonts w:ascii="Times New Roman" w:hAnsi="Times New Roman" w:cs="Times New Roman"/>
          <w:sz w:val="24"/>
          <w:szCs w:val="24"/>
          <w:lang w:val="sr-Cyrl-CS"/>
        </w:rPr>
        <w:t xml:space="preserve">подршку </w:t>
      </w:r>
      <w:r w:rsidR="007D5D0C" w:rsidRPr="004831AB">
        <w:rPr>
          <w:rFonts w:ascii="Times New Roman" w:hAnsi="Times New Roman" w:cs="Times New Roman"/>
          <w:sz w:val="24"/>
          <w:szCs w:val="24"/>
          <w:lang w:val="sr-Cyrl-CS"/>
        </w:rPr>
        <w:t>развој</w:t>
      </w:r>
      <w:r w:rsidR="001F3BDC" w:rsidRPr="004831AB">
        <w:rPr>
          <w:rFonts w:ascii="Times New Roman" w:hAnsi="Times New Roman" w:cs="Times New Roman"/>
          <w:sz w:val="24"/>
          <w:szCs w:val="24"/>
          <w:lang w:val="sr-Cyrl-CS"/>
        </w:rPr>
        <w:t>а</w:t>
      </w:r>
      <w:r w:rsidR="007D5D0C" w:rsidRPr="004831AB">
        <w:rPr>
          <w:rFonts w:ascii="Times New Roman" w:hAnsi="Times New Roman" w:cs="Times New Roman"/>
          <w:sz w:val="24"/>
          <w:szCs w:val="24"/>
          <w:lang w:val="sr-Cyrl-CS"/>
        </w:rPr>
        <w:t xml:space="preserve"> МСПП</w:t>
      </w:r>
      <w:r w:rsidR="00682B8B" w:rsidRPr="004831AB">
        <w:rPr>
          <w:rFonts w:ascii="Times New Roman" w:hAnsi="Times New Roman" w:cs="Times New Roman"/>
          <w:sz w:val="24"/>
          <w:szCs w:val="24"/>
          <w:lang w:val="sr-Cyrl-CS"/>
        </w:rPr>
        <w:t xml:space="preserve">, </w:t>
      </w:r>
      <w:r w:rsidR="0010792D" w:rsidRPr="004831AB">
        <w:rPr>
          <w:rFonts w:ascii="Times New Roman" w:hAnsi="Times New Roman" w:cs="Times New Roman"/>
          <w:i/>
          <w:iCs/>
          <w:sz w:val="24"/>
          <w:szCs w:val="24"/>
          <w:lang w:val="sr-Cyrl-CS"/>
        </w:rPr>
        <w:t>e</w:t>
      </w:r>
      <w:r w:rsidR="00682B8B" w:rsidRPr="004831AB">
        <w:rPr>
          <w:rFonts w:ascii="Times New Roman" w:hAnsi="Times New Roman" w:cs="Times New Roman"/>
          <w:i/>
          <w:iCs/>
          <w:sz w:val="24"/>
          <w:szCs w:val="24"/>
          <w:lang w:val="sr-Cyrl-CS"/>
        </w:rPr>
        <w:t>x-ante</w:t>
      </w:r>
      <w:r w:rsidR="00682B8B" w:rsidRPr="004831AB">
        <w:rPr>
          <w:rFonts w:ascii="Times New Roman" w:hAnsi="Times New Roman" w:cs="Times New Roman"/>
          <w:sz w:val="24"/>
          <w:szCs w:val="24"/>
          <w:lang w:val="sr-Cyrl-CS"/>
        </w:rPr>
        <w:t xml:space="preserve"> анализа </w:t>
      </w:r>
      <w:r w:rsidR="00D36A97" w:rsidRPr="004831AB">
        <w:rPr>
          <w:rFonts w:ascii="Times New Roman" w:hAnsi="Times New Roman" w:cs="Times New Roman"/>
          <w:sz w:val="24"/>
          <w:szCs w:val="24"/>
          <w:lang w:val="sr-Cyrl-CS"/>
        </w:rPr>
        <w:t>н</w:t>
      </w:r>
      <w:r w:rsidR="00682B8B" w:rsidRPr="004831AB">
        <w:rPr>
          <w:rFonts w:ascii="Times New Roman" w:hAnsi="Times New Roman" w:cs="Times New Roman"/>
          <w:sz w:val="24"/>
          <w:szCs w:val="24"/>
          <w:lang w:val="sr-Cyrl-CS"/>
        </w:rPr>
        <w:t xml:space="preserve">ове Стратегије, као и </w:t>
      </w:r>
      <w:r w:rsidR="009C4523" w:rsidRPr="004831AB">
        <w:rPr>
          <w:rFonts w:ascii="Times New Roman" w:hAnsi="Times New Roman" w:cs="Times New Roman"/>
          <w:sz w:val="24"/>
          <w:szCs w:val="24"/>
          <w:lang w:val="sr-Cyrl-CS"/>
        </w:rPr>
        <w:t xml:space="preserve">припрема </w:t>
      </w:r>
      <w:r w:rsidR="00682B8B" w:rsidRPr="004831AB">
        <w:rPr>
          <w:rFonts w:ascii="Times New Roman" w:hAnsi="Times New Roman" w:cs="Times New Roman"/>
          <w:sz w:val="24"/>
          <w:szCs w:val="24"/>
          <w:lang w:val="sr-Cyrl-CS"/>
        </w:rPr>
        <w:t>други</w:t>
      </w:r>
      <w:r w:rsidR="009C4523" w:rsidRPr="004831AB">
        <w:rPr>
          <w:rFonts w:ascii="Times New Roman" w:hAnsi="Times New Roman" w:cs="Times New Roman"/>
          <w:sz w:val="24"/>
          <w:szCs w:val="24"/>
          <w:lang w:val="sr-Cyrl-CS"/>
        </w:rPr>
        <w:t>х</w:t>
      </w:r>
      <w:r w:rsidR="00682B8B" w:rsidRPr="004831AB">
        <w:rPr>
          <w:rFonts w:ascii="Times New Roman" w:hAnsi="Times New Roman" w:cs="Times New Roman"/>
          <w:sz w:val="24"/>
          <w:szCs w:val="24"/>
          <w:lang w:val="sr-Cyrl-CS"/>
        </w:rPr>
        <w:t xml:space="preserve"> аналитички</w:t>
      </w:r>
      <w:r w:rsidR="009C4523" w:rsidRPr="004831AB">
        <w:rPr>
          <w:rFonts w:ascii="Times New Roman" w:hAnsi="Times New Roman" w:cs="Times New Roman"/>
          <w:sz w:val="24"/>
          <w:szCs w:val="24"/>
          <w:lang w:val="sr-Cyrl-CS"/>
        </w:rPr>
        <w:t>х</w:t>
      </w:r>
      <w:r w:rsidR="00682B8B" w:rsidRPr="004831AB">
        <w:rPr>
          <w:rFonts w:ascii="Times New Roman" w:hAnsi="Times New Roman" w:cs="Times New Roman"/>
          <w:sz w:val="24"/>
          <w:szCs w:val="24"/>
          <w:lang w:val="sr-Cyrl-CS"/>
        </w:rPr>
        <w:t xml:space="preserve"> докумен</w:t>
      </w:r>
      <w:r w:rsidR="009C4523" w:rsidRPr="004831AB">
        <w:rPr>
          <w:rFonts w:ascii="Times New Roman" w:hAnsi="Times New Roman" w:cs="Times New Roman"/>
          <w:sz w:val="24"/>
          <w:szCs w:val="24"/>
          <w:lang w:val="sr-Cyrl-CS"/>
        </w:rPr>
        <w:t>а</w:t>
      </w:r>
      <w:r w:rsidR="00682B8B" w:rsidRPr="004831AB">
        <w:rPr>
          <w:rFonts w:ascii="Times New Roman" w:hAnsi="Times New Roman" w:cs="Times New Roman"/>
          <w:sz w:val="24"/>
          <w:szCs w:val="24"/>
          <w:lang w:val="sr-Cyrl-CS"/>
        </w:rPr>
        <w:t>т</w:t>
      </w:r>
      <w:r w:rsidR="009C4523" w:rsidRPr="004831AB">
        <w:rPr>
          <w:rFonts w:ascii="Times New Roman" w:hAnsi="Times New Roman" w:cs="Times New Roman"/>
          <w:sz w:val="24"/>
          <w:szCs w:val="24"/>
          <w:lang w:val="sr-Cyrl-CS"/>
        </w:rPr>
        <w:t xml:space="preserve">а релевантних за креирање </w:t>
      </w:r>
      <w:r w:rsidR="009C4523" w:rsidRPr="004831AB">
        <w:rPr>
          <w:rFonts w:ascii="Times New Roman" w:hAnsi="Times New Roman" w:cs="Times New Roman"/>
          <w:sz w:val="24"/>
          <w:szCs w:val="24"/>
          <w:lang w:val="sr-Cyrl-CS"/>
        </w:rPr>
        <w:lastRenderedPageBreak/>
        <w:t>политике МСПП</w:t>
      </w:r>
      <w:r w:rsidR="00224006" w:rsidRPr="004831AB">
        <w:rPr>
          <w:rFonts w:ascii="Times New Roman" w:hAnsi="Times New Roman" w:cs="Times New Roman"/>
          <w:sz w:val="24"/>
          <w:szCs w:val="24"/>
          <w:lang w:val="sr-Cyrl-CS"/>
        </w:rPr>
        <w:t>, укључујући и статистичке анализе развоја сектора у претходном средњорочном периоду.</w:t>
      </w:r>
    </w:p>
    <w:p w14:paraId="324F8C5F" w14:textId="320FD5ED" w:rsidR="004247ED" w:rsidRPr="004831AB" w:rsidRDefault="004247ED" w:rsidP="00213C68">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Свеобухватне консултације </w:t>
      </w:r>
      <w:r w:rsidR="00682B8B" w:rsidRPr="004831AB">
        <w:rPr>
          <w:rFonts w:ascii="Times New Roman" w:hAnsi="Times New Roman" w:cs="Times New Roman"/>
          <w:sz w:val="24"/>
          <w:szCs w:val="24"/>
          <w:lang w:val="sr-Cyrl-CS"/>
        </w:rPr>
        <w:t xml:space="preserve">са свим заинтересованим странама </w:t>
      </w:r>
      <w:r w:rsidR="00D36A97" w:rsidRPr="004831AB">
        <w:rPr>
          <w:rFonts w:ascii="Times New Roman" w:hAnsi="Times New Roman" w:cs="Times New Roman"/>
          <w:sz w:val="24"/>
          <w:szCs w:val="24"/>
          <w:lang w:val="sr-Cyrl-CS"/>
        </w:rPr>
        <w:t xml:space="preserve">одвијале </w:t>
      </w:r>
      <w:r w:rsidR="00682B8B" w:rsidRPr="004831AB">
        <w:rPr>
          <w:rFonts w:ascii="Times New Roman" w:hAnsi="Times New Roman" w:cs="Times New Roman"/>
          <w:sz w:val="24"/>
          <w:szCs w:val="24"/>
          <w:lang w:val="sr-Cyrl-CS"/>
        </w:rPr>
        <w:t xml:space="preserve">су </w:t>
      </w:r>
      <w:r w:rsidR="007F20A7" w:rsidRPr="004831AB">
        <w:rPr>
          <w:rFonts w:ascii="Times New Roman" w:hAnsi="Times New Roman" w:cs="Times New Roman"/>
          <w:sz w:val="24"/>
          <w:szCs w:val="24"/>
          <w:lang w:val="sr-Cyrl-CS"/>
        </w:rPr>
        <w:t xml:space="preserve">се </w:t>
      </w:r>
      <w:r w:rsidRPr="004831AB">
        <w:rPr>
          <w:rFonts w:ascii="Times New Roman" w:hAnsi="Times New Roman" w:cs="Times New Roman"/>
          <w:sz w:val="24"/>
          <w:szCs w:val="24"/>
          <w:lang w:val="sr-Cyrl-CS"/>
        </w:rPr>
        <w:t>све време трајања процеса</w:t>
      </w:r>
      <w:r w:rsidR="00682B8B" w:rsidRPr="004831AB">
        <w:rPr>
          <w:rFonts w:ascii="Times New Roman" w:hAnsi="Times New Roman" w:cs="Times New Roman"/>
          <w:sz w:val="24"/>
          <w:szCs w:val="24"/>
          <w:lang w:val="sr-Cyrl-CS"/>
        </w:rPr>
        <w:t xml:space="preserve"> припреме текста Стратегије </w:t>
      </w:r>
      <w:r w:rsidR="00224006" w:rsidRPr="004831AB">
        <w:rPr>
          <w:rFonts w:ascii="Times New Roman" w:hAnsi="Times New Roman" w:cs="Times New Roman"/>
          <w:sz w:val="24"/>
          <w:szCs w:val="24"/>
          <w:lang w:val="sr-Cyrl-CS"/>
        </w:rPr>
        <w:t xml:space="preserve">кроз </w:t>
      </w:r>
      <w:r w:rsidR="00682B8B" w:rsidRPr="004831AB">
        <w:rPr>
          <w:rFonts w:ascii="Times New Roman" w:hAnsi="Times New Roman" w:cs="Times New Roman"/>
          <w:sz w:val="24"/>
          <w:szCs w:val="24"/>
          <w:lang w:val="sr-Cyrl-CS"/>
        </w:rPr>
        <w:t>јавно-приватн</w:t>
      </w:r>
      <w:r w:rsidR="00224006" w:rsidRPr="004831AB">
        <w:rPr>
          <w:rFonts w:ascii="Times New Roman" w:hAnsi="Times New Roman" w:cs="Times New Roman"/>
          <w:sz w:val="24"/>
          <w:szCs w:val="24"/>
          <w:lang w:val="sr-Cyrl-CS"/>
        </w:rPr>
        <w:t>и</w:t>
      </w:r>
      <w:r w:rsidR="00682B8B" w:rsidRPr="004831AB">
        <w:rPr>
          <w:rFonts w:ascii="Times New Roman" w:hAnsi="Times New Roman" w:cs="Times New Roman"/>
          <w:sz w:val="24"/>
          <w:szCs w:val="24"/>
          <w:lang w:val="sr-Cyrl-CS"/>
        </w:rPr>
        <w:t xml:space="preserve"> дијалог</w:t>
      </w:r>
      <w:r w:rsidR="00EC0426" w:rsidRPr="004831AB">
        <w:rPr>
          <w:rFonts w:ascii="Times New Roman" w:hAnsi="Times New Roman" w:cs="Times New Roman"/>
          <w:sz w:val="24"/>
          <w:szCs w:val="24"/>
          <w:lang w:val="sr-Cyrl-CS"/>
        </w:rPr>
        <w:t xml:space="preserve"> (у даљем тексту: ЈПД)</w:t>
      </w:r>
      <w:r w:rsidR="00682B8B" w:rsidRPr="004831AB">
        <w:rPr>
          <w:rFonts w:ascii="Times New Roman" w:hAnsi="Times New Roman" w:cs="Times New Roman"/>
          <w:sz w:val="24"/>
          <w:szCs w:val="24"/>
          <w:lang w:val="sr-Cyrl-CS"/>
        </w:rPr>
        <w:t xml:space="preserve"> са приватним сектором, локалним самоуправама, локалним и регионалним организацијама и институцијама за подршку МСПП, универзитетима, организацијама цивилног друштва. </w:t>
      </w:r>
      <w:r w:rsidR="007D5D0C" w:rsidRPr="004831AB">
        <w:rPr>
          <w:rFonts w:ascii="Times New Roman" w:hAnsi="Times New Roman" w:cs="Times New Roman"/>
          <w:sz w:val="24"/>
          <w:szCs w:val="24"/>
          <w:lang w:val="sr-Cyrl-CS"/>
        </w:rPr>
        <w:t>Поред тога</w:t>
      </w:r>
      <w:r w:rsidR="00682B8B" w:rsidRPr="004831AB">
        <w:rPr>
          <w:rFonts w:ascii="Times New Roman" w:hAnsi="Times New Roman" w:cs="Times New Roman"/>
          <w:sz w:val="24"/>
          <w:szCs w:val="24"/>
          <w:lang w:val="sr-Cyrl-CS"/>
        </w:rPr>
        <w:t xml:space="preserve">, органи државне управе, организације јавне управе, као и експертска заједница и привредне коморе </w:t>
      </w:r>
      <w:r w:rsidR="00224006" w:rsidRPr="004831AB">
        <w:rPr>
          <w:rFonts w:ascii="Times New Roman" w:hAnsi="Times New Roman" w:cs="Times New Roman"/>
          <w:sz w:val="24"/>
          <w:szCs w:val="24"/>
          <w:lang w:val="sr-Cyrl-CS"/>
        </w:rPr>
        <w:t xml:space="preserve">позвани су да </w:t>
      </w:r>
      <w:r w:rsidR="00682B8B" w:rsidRPr="004831AB">
        <w:rPr>
          <w:rFonts w:ascii="Times New Roman" w:hAnsi="Times New Roman" w:cs="Times New Roman"/>
          <w:sz w:val="24"/>
          <w:szCs w:val="24"/>
          <w:lang w:val="sr-Cyrl-CS"/>
        </w:rPr>
        <w:t>достав</w:t>
      </w:r>
      <w:r w:rsidR="00224006" w:rsidRPr="004831AB">
        <w:rPr>
          <w:rFonts w:ascii="Times New Roman" w:hAnsi="Times New Roman" w:cs="Times New Roman"/>
          <w:sz w:val="24"/>
          <w:szCs w:val="24"/>
          <w:lang w:val="sr-Cyrl-CS"/>
        </w:rPr>
        <w:t>е</w:t>
      </w:r>
      <w:r w:rsidR="00682B8B" w:rsidRPr="004831AB">
        <w:rPr>
          <w:rFonts w:ascii="Times New Roman" w:hAnsi="Times New Roman" w:cs="Times New Roman"/>
          <w:sz w:val="24"/>
          <w:szCs w:val="24"/>
          <w:lang w:val="sr-Cyrl-CS"/>
        </w:rPr>
        <w:t xml:space="preserve"> своје </w:t>
      </w:r>
      <w:r w:rsidR="00224006" w:rsidRPr="004831AB">
        <w:rPr>
          <w:rFonts w:ascii="Times New Roman" w:hAnsi="Times New Roman" w:cs="Times New Roman"/>
          <w:sz w:val="24"/>
          <w:szCs w:val="24"/>
          <w:lang w:val="sr-Cyrl-CS"/>
        </w:rPr>
        <w:t xml:space="preserve">прилоге </w:t>
      </w:r>
      <w:r w:rsidR="00682B8B" w:rsidRPr="004831AB">
        <w:rPr>
          <w:rFonts w:ascii="Times New Roman" w:hAnsi="Times New Roman" w:cs="Times New Roman"/>
          <w:sz w:val="24"/>
          <w:szCs w:val="24"/>
          <w:lang w:val="sr-Cyrl-CS"/>
        </w:rPr>
        <w:t xml:space="preserve">у писаној форми. </w:t>
      </w:r>
      <w:r w:rsidR="007D5D0C" w:rsidRPr="004831AB">
        <w:rPr>
          <w:rFonts w:ascii="Times New Roman" w:hAnsi="Times New Roman" w:cs="Times New Roman"/>
          <w:sz w:val="24"/>
          <w:szCs w:val="24"/>
          <w:lang w:val="sr-Cyrl-CS"/>
        </w:rPr>
        <w:t>Такође, преко</w:t>
      </w:r>
      <w:r w:rsidR="003527CE" w:rsidRPr="004831AB">
        <w:rPr>
          <w:rFonts w:ascii="Times New Roman" w:hAnsi="Times New Roman" w:cs="Times New Roman"/>
          <w:sz w:val="24"/>
          <w:szCs w:val="24"/>
          <w:lang w:val="sr-Cyrl-CS"/>
        </w:rPr>
        <w:t xml:space="preserve"> портала е-Консултације, сви заинтересовани су </w:t>
      </w:r>
      <w:r w:rsidR="007D5D0C" w:rsidRPr="004831AB">
        <w:rPr>
          <w:rFonts w:ascii="Times New Roman" w:hAnsi="Times New Roman" w:cs="Times New Roman"/>
          <w:sz w:val="24"/>
          <w:szCs w:val="24"/>
          <w:lang w:val="sr-Cyrl-CS"/>
        </w:rPr>
        <w:t>били у прилици</w:t>
      </w:r>
      <w:r w:rsidR="003527CE" w:rsidRPr="004831AB">
        <w:rPr>
          <w:rFonts w:ascii="Times New Roman" w:hAnsi="Times New Roman" w:cs="Times New Roman"/>
          <w:sz w:val="24"/>
          <w:szCs w:val="24"/>
          <w:lang w:val="sr-Cyrl-CS"/>
        </w:rPr>
        <w:t xml:space="preserve"> да дају предлоге и сугестије за нове стратешке правце развоја политике МСПП у Републици Србији. </w:t>
      </w:r>
    </w:p>
    <w:p w14:paraId="30C8D3DB" w14:textId="3275D096" w:rsidR="003527CE" w:rsidRPr="004831AB" w:rsidRDefault="00C8769A" w:rsidP="00213C68">
      <w:pPr>
        <w:spacing w:after="120" w:line="240" w:lineRule="auto"/>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Полазећи од смерница Европске у</w:t>
      </w:r>
      <w:r w:rsidR="00224006" w:rsidRPr="004831AB">
        <w:rPr>
          <w:rFonts w:ascii="Times New Roman" w:hAnsi="Times New Roman" w:cs="Times New Roman"/>
          <w:sz w:val="24"/>
          <w:szCs w:val="24"/>
          <w:lang w:val="sr-Cyrl-CS"/>
        </w:rPr>
        <w:t xml:space="preserve">није везаних за политику развоја МСПП, а на </w:t>
      </w:r>
      <w:r w:rsidR="003527CE" w:rsidRPr="004831AB">
        <w:rPr>
          <w:rFonts w:ascii="Times New Roman" w:hAnsi="Times New Roman" w:cs="Times New Roman"/>
          <w:sz w:val="24"/>
          <w:szCs w:val="24"/>
          <w:lang w:val="sr-Cyrl-CS"/>
        </w:rPr>
        <w:t>основу</w:t>
      </w:r>
      <w:r w:rsidR="00224006" w:rsidRPr="004831AB">
        <w:rPr>
          <w:rFonts w:ascii="Times New Roman" w:hAnsi="Times New Roman" w:cs="Times New Roman"/>
          <w:sz w:val="24"/>
          <w:szCs w:val="24"/>
          <w:lang w:val="sr-Cyrl-CS"/>
        </w:rPr>
        <w:t xml:space="preserve"> прикупљених података к</w:t>
      </w:r>
      <w:r w:rsidR="00306B37" w:rsidRPr="004831AB">
        <w:rPr>
          <w:rFonts w:ascii="Times New Roman" w:hAnsi="Times New Roman" w:cs="Times New Roman"/>
          <w:sz w:val="24"/>
          <w:szCs w:val="24"/>
          <w:lang w:val="sr-Cyrl-CS"/>
        </w:rPr>
        <w:t>р</w:t>
      </w:r>
      <w:r w:rsidR="00224006" w:rsidRPr="004831AB">
        <w:rPr>
          <w:rFonts w:ascii="Times New Roman" w:hAnsi="Times New Roman" w:cs="Times New Roman"/>
          <w:sz w:val="24"/>
          <w:szCs w:val="24"/>
          <w:lang w:val="sr-Cyrl-CS"/>
        </w:rPr>
        <w:t>оз</w:t>
      </w:r>
      <w:r w:rsidR="003527CE" w:rsidRPr="004831AB">
        <w:rPr>
          <w:rFonts w:ascii="Times New Roman" w:hAnsi="Times New Roman" w:cs="Times New Roman"/>
          <w:sz w:val="24"/>
          <w:szCs w:val="24"/>
          <w:lang w:val="sr-Cyrl-CS"/>
        </w:rPr>
        <w:t xml:space="preserve"> св</w:t>
      </w:r>
      <w:r w:rsidR="00224006" w:rsidRPr="004831AB">
        <w:rPr>
          <w:rFonts w:ascii="Times New Roman" w:hAnsi="Times New Roman" w:cs="Times New Roman"/>
          <w:sz w:val="24"/>
          <w:szCs w:val="24"/>
          <w:lang w:val="sr-Cyrl-CS"/>
        </w:rPr>
        <w:t>е</w:t>
      </w:r>
      <w:r w:rsidR="003527CE" w:rsidRPr="004831AB">
        <w:rPr>
          <w:rFonts w:ascii="Times New Roman" w:hAnsi="Times New Roman" w:cs="Times New Roman"/>
          <w:sz w:val="24"/>
          <w:szCs w:val="24"/>
          <w:lang w:val="sr-Cyrl-CS"/>
        </w:rPr>
        <w:t xml:space="preserve"> наведен</w:t>
      </w:r>
      <w:r w:rsidR="00224006" w:rsidRPr="004831AB">
        <w:rPr>
          <w:rFonts w:ascii="Times New Roman" w:hAnsi="Times New Roman" w:cs="Times New Roman"/>
          <w:sz w:val="24"/>
          <w:szCs w:val="24"/>
          <w:lang w:val="sr-Cyrl-CS"/>
        </w:rPr>
        <w:t>е</w:t>
      </w:r>
      <w:r w:rsidR="003527CE" w:rsidRPr="004831AB">
        <w:rPr>
          <w:rFonts w:ascii="Times New Roman" w:hAnsi="Times New Roman" w:cs="Times New Roman"/>
          <w:sz w:val="24"/>
          <w:szCs w:val="24"/>
          <w:lang w:val="sr-Cyrl-CS"/>
        </w:rPr>
        <w:t xml:space="preserve"> процес</w:t>
      </w:r>
      <w:r w:rsidR="00224006" w:rsidRPr="004831AB">
        <w:rPr>
          <w:rFonts w:ascii="Times New Roman" w:hAnsi="Times New Roman" w:cs="Times New Roman"/>
          <w:sz w:val="24"/>
          <w:szCs w:val="24"/>
          <w:lang w:val="sr-Cyrl-CS"/>
        </w:rPr>
        <w:t xml:space="preserve">е </w:t>
      </w:r>
      <w:r w:rsidR="003527CE" w:rsidRPr="004831AB">
        <w:rPr>
          <w:rFonts w:ascii="Times New Roman" w:hAnsi="Times New Roman" w:cs="Times New Roman"/>
          <w:sz w:val="24"/>
          <w:szCs w:val="24"/>
          <w:lang w:val="sr-Cyrl-CS"/>
        </w:rPr>
        <w:t xml:space="preserve">и сагледавања остварених резултата у претходном периоду, </w:t>
      </w:r>
      <w:r w:rsidR="000F340C" w:rsidRPr="004831AB">
        <w:rPr>
          <w:rFonts w:ascii="Times New Roman" w:hAnsi="Times New Roman" w:cs="Times New Roman"/>
          <w:sz w:val="24"/>
          <w:szCs w:val="24"/>
          <w:lang w:val="sr-Cyrl-CS"/>
        </w:rPr>
        <w:t xml:space="preserve">утврђене </w:t>
      </w:r>
      <w:r w:rsidR="003527CE" w:rsidRPr="004831AB">
        <w:rPr>
          <w:rFonts w:ascii="Times New Roman" w:hAnsi="Times New Roman" w:cs="Times New Roman"/>
          <w:sz w:val="24"/>
          <w:szCs w:val="24"/>
          <w:lang w:val="sr-Cyrl-CS"/>
        </w:rPr>
        <w:t>су</w:t>
      </w:r>
      <w:r w:rsidR="00F95A91" w:rsidRPr="004831AB">
        <w:rPr>
          <w:rFonts w:ascii="Times New Roman" w:hAnsi="Times New Roman" w:cs="Times New Roman"/>
          <w:sz w:val="24"/>
          <w:szCs w:val="24"/>
          <w:lang w:val="sr-Cyrl-CS"/>
        </w:rPr>
        <w:t xml:space="preserve"> полазне основе за припрему Стратегије</w:t>
      </w:r>
      <w:r w:rsidR="003527CE" w:rsidRPr="004831AB">
        <w:rPr>
          <w:rFonts w:ascii="Times New Roman" w:hAnsi="Times New Roman" w:cs="Times New Roman"/>
          <w:sz w:val="24"/>
          <w:szCs w:val="24"/>
          <w:lang w:val="sr-Cyrl-CS"/>
        </w:rPr>
        <w:t xml:space="preserve"> </w:t>
      </w:r>
      <w:r w:rsidR="00F95A91" w:rsidRPr="004831AB">
        <w:rPr>
          <w:rFonts w:ascii="Times New Roman" w:hAnsi="Times New Roman" w:cs="Times New Roman"/>
          <w:sz w:val="24"/>
          <w:szCs w:val="24"/>
          <w:lang w:val="sr-Cyrl-CS"/>
        </w:rPr>
        <w:t xml:space="preserve">и формулисани </w:t>
      </w:r>
      <w:r w:rsidR="003527CE" w:rsidRPr="004831AB">
        <w:rPr>
          <w:rFonts w:ascii="Times New Roman" w:hAnsi="Times New Roman" w:cs="Times New Roman"/>
          <w:sz w:val="24"/>
          <w:szCs w:val="24"/>
          <w:lang w:val="sr-Cyrl-CS"/>
        </w:rPr>
        <w:t xml:space="preserve">правци даљег развоја сектора МСПП у наредном петогодишњем периоду. </w:t>
      </w:r>
    </w:p>
    <w:p w14:paraId="23744D01" w14:textId="29DDE9D1" w:rsidR="00B7697F" w:rsidRPr="004831AB" w:rsidRDefault="00B7697F" w:rsidP="00213C68">
      <w:pPr>
        <w:pStyle w:val="Heading1"/>
        <w:ind w:left="714" w:hanging="357"/>
        <w:jc w:val="center"/>
        <w:rPr>
          <w:b w:val="0"/>
          <w:sz w:val="24"/>
          <w:szCs w:val="24"/>
          <w:lang w:val="sr-Cyrl-CS"/>
        </w:rPr>
      </w:pPr>
      <w:bookmarkStart w:id="0" w:name="_Hlk114492460"/>
      <w:r w:rsidRPr="004831AB">
        <w:rPr>
          <w:b w:val="0"/>
          <w:sz w:val="24"/>
          <w:szCs w:val="24"/>
          <w:lang w:val="sr-Cyrl-CS"/>
        </w:rPr>
        <w:t>Правни оквир и плански документи релевантни за стратегију</w:t>
      </w:r>
    </w:p>
    <w:p w14:paraId="3FBAEE0A" w14:textId="3C60D789" w:rsidR="00B0232B" w:rsidRPr="004831AB" w:rsidRDefault="00B7697F" w:rsidP="00213C68">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Најважнији з</w:t>
      </w:r>
      <w:r w:rsidR="00B0232B" w:rsidRPr="004831AB">
        <w:rPr>
          <w:rFonts w:ascii="Times New Roman" w:hAnsi="Times New Roman" w:cs="Times New Roman"/>
          <w:sz w:val="24"/>
          <w:szCs w:val="24"/>
          <w:lang w:val="sr-Cyrl-CS"/>
        </w:rPr>
        <w:t xml:space="preserve">акони </w:t>
      </w:r>
      <w:r w:rsidR="007B030F" w:rsidRPr="004831AB">
        <w:rPr>
          <w:rFonts w:ascii="Times New Roman" w:hAnsi="Times New Roman" w:cs="Times New Roman"/>
          <w:sz w:val="24"/>
          <w:szCs w:val="24"/>
          <w:lang w:val="sr-Cyrl-CS"/>
        </w:rPr>
        <w:t xml:space="preserve">и </w:t>
      </w:r>
      <w:r w:rsidR="00B13766" w:rsidRPr="004831AB">
        <w:rPr>
          <w:rFonts w:ascii="Times New Roman" w:hAnsi="Times New Roman" w:cs="Times New Roman"/>
          <w:sz w:val="24"/>
          <w:szCs w:val="24"/>
          <w:lang w:val="sr-Cyrl-CS"/>
        </w:rPr>
        <w:t xml:space="preserve">подзаконски акти </w:t>
      </w:r>
      <w:r w:rsidR="00B0232B" w:rsidRPr="004831AB">
        <w:rPr>
          <w:rFonts w:ascii="Times New Roman" w:hAnsi="Times New Roman" w:cs="Times New Roman"/>
          <w:sz w:val="24"/>
          <w:szCs w:val="24"/>
          <w:lang w:val="sr-Cyrl-CS"/>
        </w:rPr>
        <w:t>који</w:t>
      </w:r>
      <w:r w:rsidR="007B030F" w:rsidRPr="004831AB">
        <w:rPr>
          <w:rFonts w:ascii="Times New Roman" w:hAnsi="Times New Roman" w:cs="Times New Roman"/>
          <w:sz w:val="24"/>
          <w:szCs w:val="24"/>
          <w:lang w:val="sr-Cyrl-CS"/>
        </w:rPr>
        <w:t>ма се уређују услови</w:t>
      </w:r>
      <w:r w:rsidR="00B0232B" w:rsidRPr="004831AB">
        <w:rPr>
          <w:rFonts w:ascii="Times New Roman" w:hAnsi="Times New Roman" w:cs="Times New Roman"/>
          <w:sz w:val="24"/>
          <w:szCs w:val="24"/>
          <w:lang w:val="sr-Cyrl-CS"/>
        </w:rPr>
        <w:t xml:space="preserve"> за оснивање и рад МСПП, као и њихово институционално окружење су:</w:t>
      </w:r>
    </w:p>
    <w:p w14:paraId="014AC4D6" w14:textId="3FE04B39" w:rsidR="00B0232B" w:rsidRPr="004831AB" w:rsidRDefault="00B0232B" w:rsidP="00213C68">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Закон о привредним друштвима</w:t>
      </w:r>
      <w:r w:rsidRPr="004831AB">
        <w:rPr>
          <w:rFonts w:ascii="Times New Roman" w:hAnsi="Times New Roman" w:cs="Times New Roman"/>
          <w:sz w:val="24"/>
          <w:szCs w:val="24"/>
          <w:lang w:val="sr-Cyrl-CS"/>
        </w:rPr>
        <w:t xml:space="preserve"> (</w:t>
      </w:r>
      <w:r w:rsidR="007E5D5C" w:rsidRPr="004831AB">
        <w:rPr>
          <w:rFonts w:ascii="Times New Roman" w:hAnsi="Times New Roman" w:cs="Times New Roman"/>
          <w:sz w:val="24"/>
          <w:szCs w:val="24"/>
          <w:lang w:val="sr-Cyrl-CS"/>
        </w:rPr>
        <w:t>,,</w:t>
      </w:r>
      <w:r w:rsidR="00F7415F" w:rsidRPr="004831AB">
        <w:rPr>
          <w:rFonts w:ascii="Times New Roman" w:hAnsi="Times New Roman" w:cs="Times New Roman"/>
          <w:sz w:val="24"/>
          <w:szCs w:val="24"/>
          <w:lang w:val="sr-Cyrl-CS"/>
        </w:rPr>
        <w:t>Службени</w:t>
      </w:r>
      <w:r w:rsidRPr="004831AB">
        <w:rPr>
          <w:rFonts w:ascii="Times New Roman" w:hAnsi="Times New Roman" w:cs="Times New Roman"/>
          <w:sz w:val="24"/>
          <w:szCs w:val="24"/>
          <w:lang w:val="sr-Cyrl-CS"/>
        </w:rPr>
        <w:t xml:space="preserve"> гласник РС</w:t>
      </w:r>
      <w:r w:rsidR="007E5D5C" w:rsidRPr="004831AB">
        <w:rPr>
          <w:rFonts w:ascii="Times New Roman" w:hAnsi="Times New Roman" w:cs="Times New Roman"/>
          <w:sz w:val="24"/>
          <w:szCs w:val="24"/>
          <w:lang w:val="sr-Cyrl-CS"/>
        </w:rPr>
        <w:t>”</w:t>
      </w:r>
      <w:r w:rsidR="00F7415F" w:rsidRPr="004831AB">
        <w:rPr>
          <w:rFonts w:ascii="Times New Roman" w:hAnsi="Times New Roman" w:cs="Times New Roman"/>
          <w:sz w:val="24"/>
          <w:szCs w:val="24"/>
          <w:lang w:val="sr-Cyrl-CS"/>
        </w:rPr>
        <w:t>, бр. 36/11, 99/11, 83/14 - др. закон, 5/15, 44/18, 95/18, 91/19 и 109/</w:t>
      </w:r>
      <w:r w:rsidRPr="004831AB">
        <w:rPr>
          <w:rFonts w:ascii="Times New Roman" w:hAnsi="Times New Roman" w:cs="Times New Roman"/>
          <w:sz w:val="24"/>
          <w:szCs w:val="24"/>
          <w:lang w:val="sr-Cyrl-CS"/>
        </w:rPr>
        <w:t>21)</w:t>
      </w:r>
      <w:r w:rsidR="005139D5"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који уређује правни положај привредних друштава и других облика организовања привредних субјеката, а нарочито њихово оснивање, управљање, статусне промене, промене правне форме, престанак и друга питања од значаја за њихов положај, као и правни положај предузетника.</w:t>
      </w:r>
    </w:p>
    <w:p w14:paraId="2C6DF8FF" w14:textId="3E09FB1A" w:rsidR="00B0232B" w:rsidRPr="004831AB" w:rsidRDefault="00B0232B" w:rsidP="00213C68">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Закон о поступку регистрације у Агенцији за привредне регистре</w:t>
      </w:r>
      <w:r w:rsidRPr="004831AB">
        <w:rPr>
          <w:rFonts w:ascii="Times New Roman" w:hAnsi="Times New Roman" w:cs="Times New Roman"/>
          <w:sz w:val="24"/>
          <w:szCs w:val="24"/>
          <w:lang w:val="sr-Cyrl-CS"/>
        </w:rPr>
        <w:t xml:space="preserve"> (</w:t>
      </w:r>
      <w:r w:rsidR="007E5D5C" w:rsidRPr="004831AB">
        <w:rPr>
          <w:rFonts w:ascii="Times New Roman" w:hAnsi="Times New Roman" w:cs="Times New Roman"/>
          <w:sz w:val="24"/>
          <w:szCs w:val="24"/>
          <w:lang w:val="sr-Cyrl-CS"/>
        </w:rPr>
        <w:t>,,</w:t>
      </w:r>
      <w:r w:rsidR="00F224E7" w:rsidRPr="004831AB">
        <w:rPr>
          <w:rFonts w:ascii="Times New Roman" w:hAnsi="Times New Roman" w:cs="Times New Roman"/>
          <w:sz w:val="24"/>
          <w:szCs w:val="24"/>
          <w:lang w:val="sr-Cyrl-CS"/>
        </w:rPr>
        <w:t>Службени</w:t>
      </w:r>
      <w:r w:rsidRPr="004831AB">
        <w:rPr>
          <w:rFonts w:ascii="Times New Roman" w:hAnsi="Times New Roman" w:cs="Times New Roman"/>
          <w:sz w:val="24"/>
          <w:szCs w:val="24"/>
          <w:lang w:val="sr-Cyrl-CS"/>
        </w:rPr>
        <w:t xml:space="preserve"> гласник РС</w:t>
      </w:r>
      <w:r w:rsidR="007E5D5C" w:rsidRPr="004831AB">
        <w:rPr>
          <w:rFonts w:ascii="Times New Roman" w:hAnsi="Times New Roman" w:cs="Times New Roman"/>
          <w:sz w:val="24"/>
          <w:szCs w:val="24"/>
          <w:lang w:val="sr-Cyrl-CS"/>
        </w:rPr>
        <w:t>”</w:t>
      </w:r>
      <w:r w:rsidR="00F224E7" w:rsidRPr="004831AB">
        <w:rPr>
          <w:rFonts w:ascii="Times New Roman" w:hAnsi="Times New Roman" w:cs="Times New Roman"/>
          <w:sz w:val="24"/>
          <w:szCs w:val="24"/>
          <w:lang w:val="sr-Cyrl-CS"/>
        </w:rPr>
        <w:t xml:space="preserve">, бр. 99/11, 83/14, </w:t>
      </w:r>
      <w:r w:rsidR="00F37DEE" w:rsidRPr="004831AB">
        <w:rPr>
          <w:rFonts w:ascii="Times New Roman" w:hAnsi="Times New Roman" w:cs="Times New Roman"/>
          <w:sz w:val="24"/>
          <w:szCs w:val="24"/>
          <w:lang w:val="sr-Cyrl-CS"/>
        </w:rPr>
        <w:t xml:space="preserve">44/18 - др. закон, </w:t>
      </w:r>
      <w:r w:rsidR="00F224E7" w:rsidRPr="004831AB">
        <w:rPr>
          <w:rFonts w:ascii="Times New Roman" w:hAnsi="Times New Roman" w:cs="Times New Roman"/>
          <w:sz w:val="24"/>
          <w:szCs w:val="24"/>
          <w:lang w:val="sr-Cyrl-CS"/>
        </w:rPr>
        <w:t>31/19 и 105/</w:t>
      </w:r>
      <w:r w:rsidRPr="004831AB">
        <w:rPr>
          <w:rFonts w:ascii="Times New Roman" w:hAnsi="Times New Roman" w:cs="Times New Roman"/>
          <w:sz w:val="24"/>
          <w:szCs w:val="24"/>
          <w:lang w:val="sr-Cyrl-CS"/>
        </w:rPr>
        <w:t>21)</w:t>
      </w:r>
      <w:r w:rsidR="005139D5"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који уређује поступак регистрације, евидентирања и објављивања података и докумената који се воде у Регистру привредних субјеката, као и предмет регистрације, евиденције и објављивања у регистрима и евиденцијама које води Агенција за привредне регистре.</w:t>
      </w:r>
    </w:p>
    <w:p w14:paraId="11F60B68" w14:textId="2E533986" w:rsidR="00B0232B" w:rsidRPr="004831AB" w:rsidRDefault="00B0232B" w:rsidP="00213C68">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Закон о рачуноводству</w:t>
      </w:r>
      <w:r w:rsidRPr="004831AB">
        <w:rPr>
          <w:rFonts w:ascii="Times New Roman" w:hAnsi="Times New Roman" w:cs="Times New Roman"/>
          <w:sz w:val="24"/>
          <w:szCs w:val="24"/>
          <w:lang w:val="sr-Cyrl-CS"/>
        </w:rPr>
        <w:t xml:space="preserve"> (</w:t>
      </w:r>
      <w:r w:rsidR="007E5D5C" w:rsidRPr="004831AB">
        <w:rPr>
          <w:rFonts w:ascii="Times New Roman" w:hAnsi="Times New Roman" w:cs="Times New Roman"/>
          <w:sz w:val="24"/>
          <w:szCs w:val="24"/>
          <w:lang w:val="sr-Cyrl-CS"/>
        </w:rPr>
        <w:t>,,</w:t>
      </w:r>
      <w:r w:rsidR="00E65A26" w:rsidRPr="004831AB">
        <w:rPr>
          <w:rFonts w:ascii="Times New Roman" w:hAnsi="Times New Roman" w:cs="Times New Roman"/>
          <w:sz w:val="24"/>
          <w:szCs w:val="24"/>
          <w:lang w:val="sr-Cyrl-CS"/>
        </w:rPr>
        <w:t>Службени</w:t>
      </w:r>
      <w:r w:rsidRPr="004831AB">
        <w:rPr>
          <w:rFonts w:ascii="Times New Roman" w:hAnsi="Times New Roman" w:cs="Times New Roman"/>
          <w:sz w:val="24"/>
          <w:szCs w:val="24"/>
          <w:lang w:val="sr-Cyrl-CS"/>
        </w:rPr>
        <w:t xml:space="preserve"> гласник РС</w:t>
      </w:r>
      <w:r w:rsidR="007E5D5C" w:rsidRPr="004831AB">
        <w:rPr>
          <w:rFonts w:ascii="Times New Roman" w:hAnsi="Times New Roman" w:cs="Times New Roman"/>
          <w:sz w:val="24"/>
          <w:szCs w:val="24"/>
          <w:lang w:val="sr-Cyrl-CS"/>
        </w:rPr>
        <w:t>”</w:t>
      </w:r>
      <w:r w:rsidR="00E65A26" w:rsidRPr="004831AB">
        <w:rPr>
          <w:rFonts w:ascii="Times New Roman" w:hAnsi="Times New Roman" w:cs="Times New Roman"/>
          <w:sz w:val="24"/>
          <w:szCs w:val="24"/>
          <w:lang w:val="sr-Cyrl-CS"/>
        </w:rPr>
        <w:t>, бр. 73/19 и 44/</w:t>
      </w:r>
      <w:r w:rsidRPr="004831AB">
        <w:rPr>
          <w:rFonts w:ascii="Times New Roman" w:hAnsi="Times New Roman" w:cs="Times New Roman"/>
          <w:sz w:val="24"/>
          <w:szCs w:val="24"/>
          <w:lang w:val="sr-Cyrl-CS"/>
        </w:rPr>
        <w:t>21 - др. закон)</w:t>
      </w:r>
      <w:r w:rsidR="005139D5" w:rsidRPr="004831AB">
        <w:rPr>
          <w:rFonts w:ascii="Times New Roman" w:hAnsi="Times New Roman" w:cs="Times New Roman"/>
          <w:sz w:val="24"/>
          <w:szCs w:val="24"/>
          <w:lang w:val="sr-Cyrl-CS"/>
        </w:rPr>
        <w:t>, који</w:t>
      </w:r>
      <w:r w:rsidRPr="004831AB">
        <w:rPr>
          <w:rFonts w:ascii="Times New Roman" w:hAnsi="Times New Roman" w:cs="Times New Roman"/>
          <w:sz w:val="24"/>
          <w:szCs w:val="24"/>
          <w:lang w:val="sr-Cyrl-CS"/>
        </w:rPr>
        <w:t xml:space="preserve"> </w:t>
      </w:r>
      <w:r w:rsidR="005139D5" w:rsidRPr="004831AB">
        <w:rPr>
          <w:rFonts w:ascii="Times New Roman" w:hAnsi="Times New Roman" w:cs="Times New Roman"/>
          <w:sz w:val="24"/>
          <w:szCs w:val="24"/>
          <w:lang w:val="sr-Cyrl-CS"/>
        </w:rPr>
        <w:t xml:space="preserve">уређује област рачуноводства и </w:t>
      </w:r>
      <w:r w:rsidR="000749A7" w:rsidRPr="004831AB">
        <w:rPr>
          <w:rFonts w:ascii="Times New Roman" w:hAnsi="Times New Roman" w:cs="Times New Roman"/>
          <w:sz w:val="24"/>
          <w:szCs w:val="24"/>
          <w:lang w:val="sr-Cyrl-CS"/>
        </w:rPr>
        <w:t xml:space="preserve">утврђује </w:t>
      </w:r>
      <w:r w:rsidR="005139D5" w:rsidRPr="004831AB">
        <w:rPr>
          <w:rFonts w:ascii="Times New Roman" w:hAnsi="Times New Roman" w:cs="Times New Roman"/>
          <w:sz w:val="24"/>
          <w:szCs w:val="24"/>
          <w:lang w:val="sr-Cyrl-CS"/>
        </w:rPr>
        <w:t>обавезе привредних субјеката у овој области, укључујући вођење</w:t>
      </w:r>
      <w:r w:rsidRPr="004831AB">
        <w:rPr>
          <w:rFonts w:ascii="Times New Roman" w:hAnsi="Times New Roman" w:cs="Times New Roman"/>
          <w:sz w:val="24"/>
          <w:szCs w:val="24"/>
          <w:lang w:val="sr-Cyrl-CS"/>
        </w:rPr>
        <w:t xml:space="preserve"> пословних књига</w:t>
      </w:r>
      <w:r w:rsidR="005139D5" w:rsidRPr="004831AB">
        <w:rPr>
          <w:rFonts w:ascii="Times New Roman" w:hAnsi="Times New Roman" w:cs="Times New Roman"/>
          <w:sz w:val="24"/>
          <w:szCs w:val="24"/>
          <w:lang w:val="sr-Cyrl-CS"/>
        </w:rPr>
        <w:t xml:space="preserve"> и финансијско извештавање</w:t>
      </w:r>
      <w:r w:rsidRPr="004831AB">
        <w:rPr>
          <w:rFonts w:ascii="Times New Roman" w:hAnsi="Times New Roman" w:cs="Times New Roman"/>
          <w:sz w:val="24"/>
          <w:szCs w:val="24"/>
          <w:lang w:val="sr-Cyrl-CS"/>
        </w:rPr>
        <w:t>. Закон посебно уређује</w:t>
      </w:r>
      <w:r w:rsidR="005139D5" w:rsidRPr="004831AB">
        <w:rPr>
          <w:rFonts w:ascii="Times New Roman" w:hAnsi="Times New Roman" w:cs="Times New Roman"/>
          <w:sz w:val="24"/>
          <w:szCs w:val="24"/>
          <w:lang w:val="sr-Cyrl-CS"/>
        </w:rPr>
        <w:t xml:space="preserve"> разврстав</w:t>
      </w:r>
      <w:r w:rsidR="004831AB">
        <w:rPr>
          <w:rFonts w:ascii="Times New Roman" w:hAnsi="Times New Roman" w:cs="Times New Roman"/>
          <w:sz w:val="24"/>
          <w:szCs w:val="24"/>
          <w:lang w:val="sr-Cyrl-CS"/>
        </w:rPr>
        <w:t>а</w:t>
      </w:r>
      <w:r w:rsidR="005139D5" w:rsidRPr="004831AB">
        <w:rPr>
          <w:rFonts w:ascii="Times New Roman" w:hAnsi="Times New Roman" w:cs="Times New Roman"/>
          <w:sz w:val="24"/>
          <w:szCs w:val="24"/>
          <w:lang w:val="sr-Cyrl-CS"/>
        </w:rPr>
        <w:t>ње правних лица и предузетника по величини и предвиђа</w:t>
      </w:r>
      <w:r w:rsidRPr="004831AB">
        <w:rPr>
          <w:rFonts w:ascii="Times New Roman" w:hAnsi="Times New Roman" w:cs="Times New Roman"/>
          <w:sz w:val="24"/>
          <w:szCs w:val="24"/>
          <w:lang w:val="sr-Cyrl-CS"/>
        </w:rPr>
        <w:t xml:space="preserve"> примену међународног стандарда финансијског извештавања за мала и средња правна лица. </w:t>
      </w:r>
    </w:p>
    <w:p w14:paraId="27205FAD" w14:textId="7E164B5F" w:rsidR="008D10BA" w:rsidRPr="004831AB" w:rsidRDefault="008D10BA"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Правна ли</w:t>
      </w:r>
      <w:r w:rsidR="00842D92" w:rsidRPr="004831AB">
        <w:rPr>
          <w:rFonts w:ascii="Times New Roman" w:hAnsi="Times New Roman" w:cs="Times New Roman"/>
          <w:sz w:val="24"/>
          <w:szCs w:val="24"/>
          <w:lang w:val="sr-Cyrl-CS"/>
        </w:rPr>
        <w:t>ца и предузетници, у смислу З</w:t>
      </w:r>
      <w:r w:rsidRPr="004831AB">
        <w:rPr>
          <w:rFonts w:ascii="Times New Roman" w:hAnsi="Times New Roman" w:cs="Times New Roman"/>
          <w:sz w:val="24"/>
          <w:szCs w:val="24"/>
          <w:lang w:val="sr-Cyrl-CS"/>
        </w:rPr>
        <w:t>акона</w:t>
      </w:r>
      <w:r w:rsidR="00842D92" w:rsidRPr="004831AB">
        <w:rPr>
          <w:rFonts w:ascii="Times New Roman" w:hAnsi="Times New Roman" w:cs="Times New Roman"/>
          <w:bCs/>
          <w:sz w:val="24"/>
          <w:szCs w:val="24"/>
          <w:lang w:val="sr-Cyrl-CS"/>
        </w:rPr>
        <w:t xml:space="preserve"> о рачуноводству</w:t>
      </w:r>
      <w:r w:rsidRPr="004831AB">
        <w:rPr>
          <w:rFonts w:ascii="Times New Roman" w:hAnsi="Times New Roman" w:cs="Times New Roman"/>
          <w:sz w:val="24"/>
          <w:szCs w:val="24"/>
          <w:lang w:val="sr-Cyrl-CS"/>
        </w:rPr>
        <w:t xml:space="preserve">, разврставају се на микро, мала, средња и велика правна лица, у зависности од просечног броја запослених и пословног прихода у пословној години и вредности укупне активе утврђене на датум биланса редовног годишњег финансијског извештаја. </w:t>
      </w:r>
    </w:p>
    <w:p w14:paraId="2003253D" w14:textId="7854A659" w:rsidR="008D10BA" w:rsidRPr="004831AB" w:rsidRDefault="008D10BA"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микро правна лица разврставају се она правна лица и предузетници који на датум биланса не прелазе граничне вредности два од следећих критеријума: 1) просечан број запослених </w:t>
      </w:r>
      <w:r w:rsidR="006F4B4D" w:rsidRPr="004831AB">
        <w:rPr>
          <w:rFonts w:ascii="Times New Roman" w:hAnsi="Times New Roman" w:cs="Times New Roman"/>
          <w:sz w:val="24"/>
          <w:szCs w:val="24"/>
          <w:lang w:val="sr-Cyrl-CS"/>
        </w:rPr>
        <w:t>десет</w:t>
      </w:r>
      <w:r w:rsidRPr="004831AB">
        <w:rPr>
          <w:rFonts w:ascii="Times New Roman" w:hAnsi="Times New Roman" w:cs="Times New Roman"/>
          <w:sz w:val="24"/>
          <w:szCs w:val="24"/>
          <w:lang w:val="sr-Cyrl-CS"/>
        </w:rPr>
        <w:t>; 2) пословни приход 700.000 евра у динарској противвредности; 3) вредност укупне активе на датум биланса 350.000 евра у динарској противвредности.</w:t>
      </w:r>
    </w:p>
    <w:p w14:paraId="33B84587" w14:textId="1C866FE5" w:rsidR="008D10BA" w:rsidRPr="004831AB" w:rsidRDefault="008D10BA"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 xml:space="preserve">У мала правна лица разврставају се она правна лица и предузетници који на датум биланса прелазе граничне вредности два </w:t>
      </w:r>
      <w:r w:rsidR="006F4B4D" w:rsidRPr="004831AB">
        <w:rPr>
          <w:rFonts w:ascii="Times New Roman" w:hAnsi="Times New Roman" w:cs="Times New Roman"/>
          <w:sz w:val="24"/>
          <w:szCs w:val="24"/>
          <w:lang w:val="sr-Cyrl-CS"/>
        </w:rPr>
        <w:t>критеријума из става 6. овог</w:t>
      </w:r>
      <w:r w:rsidRPr="004831AB">
        <w:rPr>
          <w:rFonts w:ascii="Times New Roman" w:hAnsi="Times New Roman" w:cs="Times New Roman"/>
          <w:sz w:val="24"/>
          <w:szCs w:val="24"/>
          <w:lang w:val="sr-Cyrl-CS"/>
        </w:rPr>
        <w:t xml:space="preserve"> </w:t>
      </w:r>
      <w:r w:rsidR="006F4B4D" w:rsidRPr="004831AB">
        <w:rPr>
          <w:rFonts w:ascii="Times New Roman" w:hAnsi="Times New Roman" w:cs="Times New Roman"/>
          <w:sz w:val="24"/>
          <w:szCs w:val="24"/>
          <w:lang w:val="sr-Cyrl-CS"/>
        </w:rPr>
        <w:t xml:space="preserve">одељка, </w:t>
      </w:r>
      <w:r w:rsidRPr="004831AB">
        <w:rPr>
          <w:rFonts w:ascii="Times New Roman" w:hAnsi="Times New Roman" w:cs="Times New Roman"/>
          <w:sz w:val="24"/>
          <w:szCs w:val="24"/>
          <w:lang w:val="sr-Cyrl-CS"/>
        </w:rPr>
        <w:t xml:space="preserve">али не прелазе граничне вредности два од следећих критеријума: 1) просечан број запослених 50; 2) пословни приход 8.000.000 евра у динарској противвредности; 3) вредност укупне активе на датум биланса 4.000.000 евра у динарској противвредности. </w:t>
      </w:r>
    </w:p>
    <w:p w14:paraId="3F501C41" w14:textId="2F2FB0FC" w:rsidR="008D10BA" w:rsidRPr="004831AB" w:rsidRDefault="008D10BA"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средња правна лица разврставају се она правна лица и предузетници који на датум биланса прелазе граничне вредности два </w:t>
      </w:r>
      <w:r w:rsidR="005A21F0" w:rsidRPr="004831AB">
        <w:rPr>
          <w:rFonts w:ascii="Times New Roman" w:hAnsi="Times New Roman" w:cs="Times New Roman"/>
          <w:sz w:val="24"/>
          <w:szCs w:val="24"/>
          <w:lang w:val="sr-Cyrl-CS"/>
        </w:rPr>
        <w:t>критеријума из става 7. овог одељка</w:t>
      </w:r>
      <w:r w:rsidRPr="004831AB">
        <w:rPr>
          <w:rFonts w:ascii="Times New Roman" w:hAnsi="Times New Roman" w:cs="Times New Roman"/>
          <w:sz w:val="24"/>
          <w:szCs w:val="24"/>
          <w:lang w:val="sr-Cyrl-CS"/>
        </w:rPr>
        <w:t>, али не прелазе граничне вредности два од следећих критеријума: 1) просечан број запослених 250; 2) пословни приход 40.000.000 евра у динарској противвредности; 3) вредност укупне активе на датум биланса 20.000.000 евра у динарској противвредности.</w:t>
      </w:r>
    </w:p>
    <w:p w14:paraId="7F58C163" w14:textId="6F5D7915" w:rsidR="00B0232B" w:rsidRPr="004831AB" w:rsidRDefault="00B0232B"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Закон о ревизији</w:t>
      </w:r>
      <w:r w:rsidRPr="004831AB">
        <w:rPr>
          <w:rFonts w:ascii="Times New Roman" w:hAnsi="Times New Roman" w:cs="Times New Roman"/>
          <w:sz w:val="24"/>
          <w:szCs w:val="24"/>
          <w:lang w:val="sr-Cyrl-CS"/>
        </w:rPr>
        <w:t xml:space="preserve"> (</w:t>
      </w:r>
      <w:r w:rsidR="007E5D5C" w:rsidRPr="004831AB">
        <w:rPr>
          <w:rFonts w:ascii="Times New Roman" w:hAnsi="Times New Roman" w:cs="Times New Roman"/>
          <w:sz w:val="24"/>
          <w:szCs w:val="24"/>
          <w:lang w:val="sr-Cyrl-CS"/>
        </w:rPr>
        <w:t>,,</w:t>
      </w:r>
      <w:r w:rsidR="005A21F0" w:rsidRPr="004831AB">
        <w:rPr>
          <w:rFonts w:ascii="Times New Roman" w:hAnsi="Times New Roman" w:cs="Times New Roman"/>
          <w:sz w:val="24"/>
          <w:szCs w:val="24"/>
          <w:lang w:val="sr-Cyrl-CS"/>
        </w:rPr>
        <w:t>Службени</w:t>
      </w:r>
      <w:r w:rsidRPr="004831AB">
        <w:rPr>
          <w:rFonts w:ascii="Times New Roman" w:hAnsi="Times New Roman" w:cs="Times New Roman"/>
          <w:sz w:val="24"/>
          <w:szCs w:val="24"/>
          <w:lang w:val="sr-Cyrl-CS"/>
        </w:rPr>
        <w:t xml:space="preserve"> гласник РС</w:t>
      </w:r>
      <w:r w:rsidR="007E5D5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бр</w:t>
      </w:r>
      <w:r w:rsidR="00D7585B" w:rsidRPr="004831AB">
        <w:rPr>
          <w:rFonts w:ascii="Times New Roman" w:hAnsi="Times New Roman" w:cs="Times New Roman"/>
          <w:sz w:val="24"/>
          <w:szCs w:val="24"/>
          <w:lang w:val="sr-Cyrl-CS"/>
        </w:rPr>
        <w:t>ој</w:t>
      </w:r>
      <w:r w:rsidR="005A21F0" w:rsidRPr="004831AB">
        <w:rPr>
          <w:rFonts w:ascii="Times New Roman" w:hAnsi="Times New Roman" w:cs="Times New Roman"/>
          <w:sz w:val="24"/>
          <w:szCs w:val="24"/>
          <w:lang w:val="sr-Cyrl-CS"/>
        </w:rPr>
        <w:t xml:space="preserve"> 73/</w:t>
      </w:r>
      <w:r w:rsidRPr="004831AB">
        <w:rPr>
          <w:rFonts w:ascii="Times New Roman" w:hAnsi="Times New Roman" w:cs="Times New Roman"/>
          <w:sz w:val="24"/>
          <w:szCs w:val="24"/>
          <w:lang w:val="sr-Cyrl-CS"/>
        </w:rPr>
        <w:t>19)</w:t>
      </w:r>
      <w:r w:rsidR="000749A7" w:rsidRPr="004831AB">
        <w:rPr>
          <w:rFonts w:ascii="Times New Roman" w:hAnsi="Times New Roman" w:cs="Times New Roman"/>
          <w:sz w:val="24"/>
          <w:szCs w:val="24"/>
          <w:lang w:val="sr-Cyrl-CS"/>
        </w:rPr>
        <w:t>, који је за МСПП битан је</w:t>
      </w:r>
      <w:r w:rsidR="001C32DE" w:rsidRPr="004831AB">
        <w:rPr>
          <w:rFonts w:ascii="Times New Roman" w:hAnsi="Times New Roman" w:cs="Times New Roman"/>
          <w:sz w:val="24"/>
          <w:szCs w:val="24"/>
          <w:lang w:val="sr-Cyrl-CS"/>
        </w:rPr>
        <w:t>р</w:t>
      </w:r>
      <w:r w:rsidR="000749A7" w:rsidRPr="004831AB">
        <w:rPr>
          <w:rFonts w:ascii="Times New Roman" w:hAnsi="Times New Roman" w:cs="Times New Roman"/>
          <w:sz w:val="24"/>
          <w:szCs w:val="24"/>
          <w:lang w:val="sr-Cyrl-CS"/>
        </w:rPr>
        <w:t xml:space="preserve"> утврђује обавезу вршења ревизије у односу на величину </w:t>
      </w:r>
      <w:r w:rsidR="001C32DE" w:rsidRPr="004831AB">
        <w:rPr>
          <w:rFonts w:ascii="Times New Roman" w:hAnsi="Times New Roman" w:cs="Times New Roman"/>
          <w:sz w:val="24"/>
          <w:szCs w:val="24"/>
          <w:lang w:val="sr-Cyrl-CS"/>
        </w:rPr>
        <w:t>правног лица, односно</w:t>
      </w:r>
      <w:r w:rsidR="000749A7" w:rsidRPr="004831AB">
        <w:rPr>
          <w:rFonts w:ascii="Times New Roman" w:hAnsi="Times New Roman" w:cs="Times New Roman"/>
          <w:sz w:val="24"/>
          <w:szCs w:val="24"/>
          <w:lang w:val="sr-Cyrl-CS"/>
        </w:rPr>
        <w:t xml:space="preserve"> остваре</w:t>
      </w:r>
      <w:r w:rsidR="005A21F0" w:rsidRPr="004831AB">
        <w:rPr>
          <w:rFonts w:ascii="Times New Roman" w:hAnsi="Times New Roman" w:cs="Times New Roman"/>
          <w:sz w:val="24"/>
          <w:szCs w:val="24"/>
          <w:lang w:val="sr-Cyrl-CS"/>
        </w:rPr>
        <w:t>н приход, као и у односу на</w:t>
      </w:r>
      <w:r w:rsidR="000749A7" w:rsidRPr="004831AB">
        <w:rPr>
          <w:rFonts w:ascii="Times New Roman" w:hAnsi="Times New Roman" w:cs="Times New Roman"/>
          <w:sz w:val="24"/>
          <w:szCs w:val="24"/>
          <w:lang w:val="sr-Cyrl-CS"/>
        </w:rPr>
        <w:t xml:space="preserve"> друге критеријуме. </w:t>
      </w:r>
    </w:p>
    <w:p w14:paraId="0AFFFE56" w14:textId="1E647628" w:rsidR="00210440" w:rsidRPr="004831AB" w:rsidRDefault="00C87D7C"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За пословање сектора МСПП од значаја су закони који регулишу  њихово свакодневно пословање</w:t>
      </w:r>
      <w:r w:rsidR="00210440" w:rsidRPr="004831AB">
        <w:rPr>
          <w:rFonts w:ascii="Times New Roman" w:hAnsi="Times New Roman" w:cs="Times New Roman"/>
          <w:sz w:val="24"/>
          <w:szCs w:val="24"/>
          <w:lang w:val="sr-Cyrl-CS"/>
        </w:rPr>
        <w:t xml:space="preserve"> односно куповину и продају производа, добара и услуга у земљи и иност</w:t>
      </w:r>
      <w:r w:rsidR="004831AB">
        <w:rPr>
          <w:rFonts w:ascii="Times New Roman" w:hAnsi="Times New Roman" w:cs="Times New Roman"/>
          <w:sz w:val="24"/>
          <w:szCs w:val="24"/>
          <w:lang w:val="sr-Cyrl-CS"/>
        </w:rPr>
        <w:t>р</w:t>
      </w:r>
      <w:r w:rsidR="00210440" w:rsidRPr="004831AB">
        <w:rPr>
          <w:rFonts w:ascii="Times New Roman" w:hAnsi="Times New Roman" w:cs="Times New Roman"/>
          <w:sz w:val="24"/>
          <w:szCs w:val="24"/>
          <w:lang w:val="sr-Cyrl-CS"/>
        </w:rPr>
        <w:t>анству,</w:t>
      </w:r>
      <w:r w:rsidRPr="004831AB">
        <w:rPr>
          <w:rFonts w:ascii="Times New Roman" w:hAnsi="Times New Roman" w:cs="Times New Roman"/>
          <w:sz w:val="24"/>
          <w:szCs w:val="24"/>
          <w:lang w:val="sr-Cyrl-CS"/>
        </w:rPr>
        <w:t xml:space="preserve"> као што су Закон о електронском фактурисању</w:t>
      </w:r>
      <w:r w:rsidR="00A478B3" w:rsidRPr="004831AB">
        <w:rPr>
          <w:rStyle w:val="FootnoteReference"/>
          <w:rFonts w:ascii="Times New Roman" w:hAnsi="Times New Roman" w:cs="Times New Roman"/>
          <w:sz w:val="24"/>
          <w:szCs w:val="24"/>
          <w:lang w:val="sr-Cyrl-CS"/>
        </w:rPr>
        <w:footnoteReference w:id="1"/>
      </w:r>
      <w:r w:rsidRPr="004831AB">
        <w:rPr>
          <w:rFonts w:ascii="Times New Roman" w:hAnsi="Times New Roman" w:cs="Times New Roman"/>
          <w:sz w:val="24"/>
          <w:szCs w:val="24"/>
          <w:lang w:val="sr-Cyrl-CS"/>
        </w:rPr>
        <w:t>, Закон о фискализацији</w:t>
      </w:r>
      <w:r w:rsidR="00A478B3" w:rsidRPr="004831AB">
        <w:rPr>
          <w:rStyle w:val="FootnoteReference"/>
          <w:rFonts w:ascii="Times New Roman" w:hAnsi="Times New Roman" w:cs="Times New Roman"/>
          <w:sz w:val="24"/>
          <w:szCs w:val="24"/>
          <w:lang w:val="sr-Cyrl-CS"/>
        </w:rPr>
        <w:footnoteReference w:id="2"/>
      </w:r>
      <w:r w:rsidRPr="004831AB">
        <w:rPr>
          <w:rFonts w:ascii="Times New Roman" w:hAnsi="Times New Roman" w:cs="Times New Roman"/>
          <w:sz w:val="24"/>
          <w:szCs w:val="24"/>
          <w:lang w:val="sr-Cyrl-CS"/>
        </w:rPr>
        <w:t>,</w:t>
      </w:r>
      <w:r w:rsidR="00210440" w:rsidRPr="004831AB">
        <w:rPr>
          <w:rFonts w:ascii="Times New Roman" w:hAnsi="Times New Roman" w:cs="Times New Roman"/>
          <w:sz w:val="24"/>
          <w:szCs w:val="24"/>
          <w:lang w:val="sr-Cyrl-CS"/>
        </w:rPr>
        <w:t xml:space="preserve"> </w:t>
      </w:r>
      <w:r w:rsidR="00C60BC0" w:rsidRPr="004831AB">
        <w:rPr>
          <w:rFonts w:ascii="Times New Roman" w:hAnsi="Times New Roman" w:cs="Times New Roman"/>
          <w:sz w:val="24"/>
          <w:szCs w:val="24"/>
          <w:lang w:val="sr-Cyrl-CS"/>
        </w:rPr>
        <w:t>Закон о роковима измирења новчаних обавеза у комерцијалним трансакцијама</w:t>
      </w:r>
      <w:r w:rsidR="00C60BC0" w:rsidRPr="004831AB">
        <w:rPr>
          <w:rStyle w:val="FootnoteReference"/>
          <w:rFonts w:ascii="Times New Roman" w:hAnsi="Times New Roman" w:cs="Times New Roman"/>
          <w:sz w:val="24"/>
          <w:szCs w:val="24"/>
          <w:lang w:val="sr-Cyrl-CS"/>
        </w:rPr>
        <w:footnoteReference w:id="3"/>
      </w:r>
      <w:r w:rsidR="00C60BC0"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Закон о платном промету</w:t>
      </w:r>
      <w:r w:rsidR="00A478B3" w:rsidRPr="004831AB">
        <w:rPr>
          <w:rStyle w:val="FootnoteReference"/>
          <w:rFonts w:ascii="Times New Roman" w:hAnsi="Times New Roman" w:cs="Times New Roman"/>
          <w:sz w:val="24"/>
          <w:szCs w:val="24"/>
          <w:lang w:val="sr-Cyrl-CS"/>
        </w:rPr>
        <w:footnoteReference w:id="4"/>
      </w:r>
      <w:r w:rsidR="001F6600" w:rsidRPr="004831AB">
        <w:rPr>
          <w:rFonts w:ascii="Times New Roman" w:hAnsi="Times New Roman" w:cs="Times New Roman"/>
          <w:sz w:val="24"/>
          <w:szCs w:val="24"/>
          <w:lang w:val="sr-Cyrl-CS"/>
        </w:rPr>
        <w:t xml:space="preserve"> и</w:t>
      </w:r>
      <w:r w:rsidRPr="004831AB">
        <w:rPr>
          <w:rFonts w:ascii="Times New Roman" w:hAnsi="Times New Roman" w:cs="Times New Roman"/>
          <w:sz w:val="24"/>
          <w:szCs w:val="24"/>
          <w:lang w:val="sr-Cyrl-CS"/>
        </w:rPr>
        <w:t xml:space="preserve"> Закон о девизном пословању</w:t>
      </w:r>
      <w:r w:rsidR="00A478B3" w:rsidRPr="004831AB">
        <w:rPr>
          <w:rStyle w:val="FootnoteReference"/>
          <w:rFonts w:ascii="Times New Roman" w:hAnsi="Times New Roman" w:cs="Times New Roman"/>
          <w:sz w:val="24"/>
          <w:szCs w:val="24"/>
          <w:lang w:val="sr-Cyrl-CS"/>
        </w:rPr>
        <w:footnoteReference w:id="5"/>
      </w:r>
      <w:r w:rsidR="00210440" w:rsidRPr="004831AB">
        <w:rPr>
          <w:rFonts w:ascii="Times New Roman" w:hAnsi="Times New Roman" w:cs="Times New Roman"/>
          <w:sz w:val="24"/>
          <w:szCs w:val="24"/>
          <w:lang w:val="sr-Cyrl-CS"/>
        </w:rPr>
        <w:t>.</w:t>
      </w:r>
    </w:p>
    <w:p w14:paraId="19CCD707" w14:textId="365FD31C" w:rsidR="00C87D7C" w:rsidRPr="004831AB" w:rsidRDefault="00210440"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Посебну важност имају и закони којима су дефинисане пореске обавезе МСПП, а пре свега  </w:t>
      </w:r>
      <w:r w:rsidR="00C87D7C" w:rsidRPr="004831AB">
        <w:rPr>
          <w:rFonts w:ascii="Times New Roman" w:hAnsi="Times New Roman" w:cs="Times New Roman"/>
          <w:sz w:val="24"/>
          <w:szCs w:val="24"/>
          <w:lang w:val="sr-Cyrl-CS"/>
        </w:rPr>
        <w:t xml:space="preserve"> Закон о порезу на добит правних лица</w:t>
      </w:r>
      <w:r w:rsidR="00A478B3" w:rsidRPr="004831AB">
        <w:rPr>
          <w:rStyle w:val="FootnoteReference"/>
          <w:rFonts w:ascii="Times New Roman" w:hAnsi="Times New Roman" w:cs="Times New Roman"/>
          <w:sz w:val="24"/>
          <w:szCs w:val="24"/>
          <w:lang w:val="sr-Cyrl-CS"/>
        </w:rPr>
        <w:footnoteReference w:id="6"/>
      </w:r>
      <w:r w:rsidR="00C87D7C" w:rsidRPr="004831AB">
        <w:rPr>
          <w:rFonts w:ascii="Times New Roman" w:hAnsi="Times New Roman" w:cs="Times New Roman"/>
          <w:sz w:val="24"/>
          <w:szCs w:val="24"/>
          <w:lang w:val="sr-Cyrl-CS"/>
        </w:rPr>
        <w:t>,</w:t>
      </w:r>
      <w:r w:rsidR="00237903" w:rsidRPr="004831AB">
        <w:rPr>
          <w:rFonts w:ascii="Times New Roman" w:hAnsi="Times New Roman" w:cs="Times New Roman"/>
          <w:sz w:val="24"/>
          <w:szCs w:val="24"/>
          <w:lang w:val="sr-Cyrl-CS"/>
        </w:rPr>
        <w:t xml:space="preserve"> </w:t>
      </w:r>
      <w:r w:rsidR="00C87D7C" w:rsidRPr="004831AB">
        <w:rPr>
          <w:rFonts w:ascii="Times New Roman" w:hAnsi="Times New Roman" w:cs="Times New Roman"/>
          <w:sz w:val="24"/>
          <w:szCs w:val="24"/>
          <w:lang w:val="sr-Cyrl-CS"/>
        </w:rPr>
        <w:t>Закон о порезу на додату вредност</w:t>
      </w:r>
      <w:r w:rsidR="00A478B3" w:rsidRPr="004831AB">
        <w:rPr>
          <w:rStyle w:val="FootnoteReference"/>
          <w:rFonts w:ascii="Times New Roman" w:hAnsi="Times New Roman" w:cs="Times New Roman"/>
          <w:sz w:val="24"/>
          <w:szCs w:val="24"/>
          <w:lang w:val="sr-Cyrl-CS"/>
        </w:rPr>
        <w:footnoteReference w:id="7"/>
      </w:r>
      <w:r w:rsidR="001F6600" w:rsidRPr="004831AB">
        <w:rPr>
          <w:rFonts w:ascii="Times New Roman" w:hAnsi="Times New Roman" w:cs="Times New Roman"/>
          <w:sz w:val="24"/>
          <w:szCs w:val="24"/>
          <w:lang w:val="sr-Cyrl-CS"/>
        </w:rPr>
        <w:t xml:space="preserve">, </w:t>
      </w:r>
      <w:r w:rsidR="00C87D7C" w:rsidRPr="004831AB">
        <w:rPr>
          <w:rFonts w:ascii="Times New Roman" w:hAnsi="Times New Roman" w:cs="Times New Roman"/>
          <w:sz w:val="24"/>
          <w:szCs w:val="24"/>
          <w:lang w:val="sr-Cyrl-CS"/>
        </w:rPr>
        <w:t>као и Закон о пореском поступку и пореској администрацији</w:t>
      </w:r>
      <w:r w:rsidR="00A478B3" w:rsidRPr="004831AB">
        <w:rPr>
          <w:rStyle w:val="FootnoteReference"/>
          <w:rFonts w:ascii="Times New Roman" w:hAnsi="Times New Roman" w:cs="Times New Roman"/>
          <w:sz w:val="24"/>
          <w:szCs w:val="24"/>
          <w:lang w:val="sr-Cyrl-CS"/>
        </w:rPr>
        <w:footnoteReference w:id="8"/>
      </w:r>
      <w:r w:rsidR="00C87D7C" w:rsidRPr="004831AB">
        <w:rPr>
          <w:rFonts w:ascii="Times New Roman" w:hAnsi="Times New Roman" w:cs="Times New Roman"/>
          <w:sz w:val="24"/>
          <w:szCs w:val="24"/>
          <w:lang w:val="sr-Cyrl-CS"/>
        </w:rPr>
        <w:t>.</w:t>
      </w:r>
    </w:p>
    <w:p w14:paraId="6261DA58" w14:textId="4B39740A" w:rsidR="00C87D7C" w:rsidRPr="004831AB" w:rsidRDefault="00210440"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За дефинисање права и обавеза МСПП приликом ангажовања </w:t>
      </w:r>
      <w:r w:rsidR="001C32DE" w:rsidRPr="004831AB">
        <w:rPr>
          <w:rFonts w:ascii="Times New Roman" w:hAnsi="Times New Roman" w:cs="Times New Roman"/>
          <w:sz w:val="24"/>
          <w:szCs w:val="24"/>
          <w:lang w:val="sr-Cyrl-CS"/>
        </w:rPr>
        <w:t>радника</w:t>
      </w:r>
      <w:r w:rsidR="00C87D7C" w:rsidRPr="004831AB">
        <w:rPr>
          <w:rFonts w:ascii="Times New Roman" w:hAnsi="Times New Roman" w:cs="Times New Roman"/>
          <w:sz w:val="24"/>
          <w:szCs w:val="24"/>
          <w:lang w:val="sr-Cyrl-CS"/>
        </w:rPr>
        <w:t xml:space="preserve">, важну улогу </w:t>
      </w:r>
      <w:r w:rsidR="001F6600" w:rsidRPr="004831AB">
        <w:rPr>
          <w:rFonts w:ascii="Times New Roman" w:hAnsi="Times New Roman" w:cs="Times New Roman"/>
          <w:sz w:val="24"/>
          <w:szCs w:val="24"/>
          <w:lang w:val="sr-Cyrl-CS"/>
        </w:rPr>
        <w:t>имају</w:t>
      </w:r>
      <w:r w:rsidR="00C87D7C" w:rsidRPr="004831AB">
        <w:rPr>
          <w:rFonts w:ascii="Times New Roman" w:hAnsi="Times New Roman" w:cs="Times New Roman"/>
          <w:sz w:val="24"/>
          <w:szCs w:val="24"/>
          <w:lang w:val="sr-Cyrl-CS"/>
        </w:rPr>
        <w:t xml:space="preserve"> и радно-правни прописи (</w:t>
      </w:r>
      <w:r w:rsidR="004E66DD" w:rsidRPr="004831AB">
        <w:rPr>
          <w:rFonts w:ascii="Times New Roman" w:hAnsi="Times New Roman" w:cs="Times New Roman"/>
          <w:sz w:val="24"/>
          <w:szCs w:val="24"/>
          <w:lang w:val="sr-Cyrl-CS"/>
        </w:rPr>
        <w:t>Закон о</w:t>
      </w:r>
      <w:r w:rsidR="00CF5EAE" w:rsidRPr="004831AB">
        <w:rPr>
          <w:rFonts w:ascii="Times New Roman" w:hAnsi="Times New Roman" w:cs="Times New Roman"/>
          <w:sz w:val="24"/>
          <w:szCs w:val="24"/>
          <w:lang w:val="sr-Cyrl-CS"/>
        </w:rPr>
        <w:t xml:space="preserve"> раду</w:t>
      </w:r>
      <w:r w:rsidR="00CF5EAE" w:rsidRPr="004831AB">
        <w:rPr>
          <w:rStyle w:val="FootnoteReference"/>
          <w:rFonts w:ascii="Times New Roman" w:hAnsi="Times New Roman" w:cs="Times New Roman"/>
          <w:sz w:val="24"/>
          <w:szCs w:val="24"/>
          <w:lang w:val="sr-Cyrl-CS"/>
        </w:rPr>
        <w:footnoteReference w:id="9"/>
      </w:r>
      <w:r w:rsidR="004E66DD" w:rsidRPr="004831AB">
        <w:rPr>
          <w:rFonts w:ascii="Times New Roman" w:hAnsi="Times New Roman" w:cs="Times New Roman"/>
          <w:sz w:val="24"/>
          <w:szCs w:val="24"/>
          <w:lang w:val="sr-Cyrl-CS"/>
        </w:rPr>
        <w:t>, Закон о запошљавању и осигурању у случају незапослености</w:t>
      </w:r>
      <w:r w:rsidR="00CF5EAE" w:rsidRPr="004831AB">
        <w:rPr>
          <w:rStyle w:val="FootnoteReference"/>
          <w:rFonts w:ascii="Times New Roman" w:hAnsi="Times New Roman" w:cs="Times New Roman"/>
          <w:sz w:val="24"/>
          <w:szCs w:val="24"/>
          <w:lang w:val="sr-Cyrl-CS"/>
        </w:rPr>
        <w:footnoteReference w:id="10"/>
      </w:r>
      <w:r w:rsidR="004E66DD" w:rsidRPr="004831AB">
        <w:rPr>
          <w:rFonts w:ascii="Times New Roman" w:hAnsi="Times New Roman" w:cs="Times New Roman"/>
          <w:sz w:val="24"/>
          <w:szCs w:val="24"/>
          <w:lang w:val="sr-Cyrl-CS"/>
        </w:rPr>
        <w:t xml:space="preserve"> и др.)</w:t>
      </w:r>
      <w:r w:rsidR="00CF5EAE" w:rsidRPr="004831AB">
        <w:rPr>
          <w:rFonts w:ascii="Times New Roman" w:hAnsi="Times New Roman" w:cs="Times New Roman"/>
          <w:sz w:val="24"/>
          <w:szCs w:val="24"/>
          <w:lang w:val="sr-Cyrl-CS"/>
        </w:rPr>
        <w:t xml:space="preserve"> и</w:t>
      </w:r>
      <w:r w:rsidR="00C87D7C" w:rsidRPr="004831AB">
        <w:rPr>
          <w:rFonts w:ascii="Times New Roman" w:hAnsi="Times New Roman" w:cs="Times New Roman"/>
          <w:sz w:val="24"/>
          <w:szCs w:val="24"/>
          <w:lang w:val="sr-Cyrl-CS"/>
        </w:rPr>
        <w:t xml:space="preserve"> прописи о безбедности и здрављу на раду</w:t>
      </w:r>
      <w:r w:rsidR="004E66DD" w:rsidRPr="004831AB">
        <w:rPr>
          <w:rFonts w:ascii="Times New Roman" w:hAnsi="Times New Roman" w:cs="Times New Roman"/>
          <w:sz w:val="24"/>
          <w:szCs w:val="24"/>
          <w:lang w:val="sr-Cyrl-CS"/>
        </w:rPr>
        <w:t xml:space="preserve"> (Закон о безбедности и здрављу на раду</w:t>
      </w:r>
      <w:r w:rsidR="00CF5EAE" w:rsidRPr="004831AB">
        <w:rPr>
          <w:rStyle w:val="FootnoteReference"/>
          <w:rFonts w:ascii="Times New Roman" w:hAnsi="Times New Roman" w:cs="Times New Roman"/>
          <w:sz w:val="24"/>
          <w:szCs w:val="24"/>
          <w:lang w:val="sr-Cyrl-CS"/>
        </w:rPr>
        <w:footnoteReference w:id="11"/>
      </w:r>
      <w:r w:rsidR="00CF5EAE" w:rsidRPr="004831AB">
        <w:rPr>
          <w:rFonts w:ascii="Times New Roman" w:hAnsi="Times New Roman" w:cs="Times New Roman"/>
          <w:sz w:val="24"/>
          <w:szCs w:val="24"/>
          <w:lang w:val="sr-Cyrl-CS"/>
        </w:rPr>
        <w:t xml:space="preserve"> </w:t>
      </w:r>
      <w:r w:rsidR="004E66DD" w:rsidRPr="004831AB">
        <w:rPr>
          <w:rFonts w:ascii="Times New Roman" w:hAnsi="Times New Roman" w:cs="Times New Roman"/>
          <w:sz w:val="24"/>
          <w:szCs w:val="24"/>
          <w:lang w:val="sr-Cyrl-CS"/>
        </w:rPr>
        <w:t>и његови подзаконски акти)</w:t>
      </w:r>
      <w:r w:rsidR="006E3886" w:rsidRPr="004831AB">
        <w:rPr>
          <w:rFonts w:ascii="Times New Roman" w:hAnsi="Times New Roman" w:cs="Times New Roman"/>
          <w:sz w:val="24"/>
          <w:szCs w:val="24"/>
          <w:lang w:val="sr-Cyrl-CS"/>
        </w:rPr>
        <w:t>.</w:t>
      </w:r>
    </w:p>
    <w:p w14:paraId="5F0241A7" w14:textId="48B85F26" w:rsidR="008D10BA" w:rsidRPr="004831AB" w:rsidRDefault="00210440"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У случају немогућности превазилажења проблема у сопственом пословању, али и у циљу заштите </w:t>
      </w:r>
      <w:r w:rsidR="00C60BC0" w:rsidRPr="004831AB">
        <w:rPr>
          <w:rFonts w:ascii="Times New Roman" w:hAnsi="Times New Roman" w:cs="Times New Roman"/>
          <w:bCs/>
          <w:sz w:val="24"/>
          <w:szCs w:val="24"/>
          <w:lang w:val="sr-Cyrl-CS"/>
        </w:rPr>
        <w:t xml:space="preserve">својих </w:t>
      </w:r>
      <w:r w:rsidRPr="004831AB">
        <w:rPr>
          <w:rFonts w:ascii="Times New Roman" w:hAnsi="Times New Roman" w:cs="Times New Roman"/>
          <w:bCs/>
          <w:sz w:val="24"/>
          <w:szCs w:val="24"/>
          <w:lang w:val="sr-Cyrl-CS"/>
        </w:rPr>
        <w:t>потр</w:t>
      </w:r>
      <w:r w:rsidR="004831AB">
        <w:rPr>
          <w:rFonts w:ascii="Times New Roman" w:hAnsi="Times New Roman" w:cs="Times New Roman"/>
          <w:bCs/>
          <w:sz w:val="24"/>
          <w:szCs w:val="24"/>
          <w:lang w:val="sr-Cyrl-CS"/>
        </w:rPr>
        <w:t>а</w:t>
      </w:r>
      <w:r w:rsidRPr="004831AB">
        <w:rPr>
          <w:rFonts w:ascii="Times New Roman" w:hAnsi="Times New Roman" w:cs="Times New Roman"/>
          <w:bCs/>
          <w:sz w:val="24"/>
          <w:szCs w:val="24"/>
          <w:lang w:val="sr-Cyrl-CS"/>
        </w:rPr>
        <w:t xml:space="preserve">живања, за МСПП је важан </w:t>
      </w:r>
      <w:r w:rsidR="008D10BA" w:rsidRPr="004831AB">
        <w:rPr>
          <w:rFonts w:ascii="Times New Roman" w:hAnsi="Times New Roman" w:cs="Times New Roman"/>
          <w:bCs/>
          <w:sz w:val="24"/>
          <w:szCs w:val="24"/>
          <w:lang w:val="sr-Cyrl-CS"/>
        </w:rPr>
        <w:t>Закон о стечају</w:t>
      </w:r>
      <w:r w:rsidR="008D10BA" w:rsidRPr="004831AB">
        <w:rPr>
          <w:rFonts w:ascii="Times New Roman" w:hAnsi="Times New Roman" w:cs="Times New Roman"/>
          <w:sz w:val="24"/>
          <w:szCs w:val="24"/>
          <w:lang w:val="sr-Cyrl-CS"/>
        </w:rPr>
        <w:t xml:space="preserve"> (</w:t>
      </w:r>
      <w:r w:rsidR="007E5D5C" w:rsidRPr="004831AB">
        <w:rPr>
          <w:rFonts w:ascii="Times New Roman" w:hAnsi="Times New Roman" w:cs="Times New Roman"/>
          <w:sz w:val="24"/>
          <w:szCs w:val="24"/>
          <w:lang w:val="sr-Cyrl-CS"/>
        </w:rPr>
        <w:t>,,</w:t>
      </w:r>
      <w:r w:rsidR="00986793" w:rsidRPr="004831AB">
        <w:rPr>
          <w:rFonts w:ascii="Times New Roman" w:hAnsi="Times New Roman" w:cs="Times New Roman"/>
          <w:sz w:val="24"/>
          <w:szCs w:val="24"/>
          <w:lang w:val="sr-Cyrl-CS"/>
        </w:rPr>
        <w:t>Службени</w:t>
      </w:r>
      <w:r w:rsidR="008D10BA" w:rsidRPr="004831AB">
        <w:rPr>
          <w:rFonts w:ascii="Times New Roman" w:hAnsi="Times New Roman" w:cs="Times New Roman"/>
          <w:sz w:val="24"/>
          <w:szCs w:val="24"/>
          <w:lang w:val="sr-Cyrl-CS"/>
        </w:rPr>
        <w:t xml:space="preserve"> гласник РС</w:t>
      </w:r>
      <w:r w:rsidR="007E5D5C" w:rsidRPr="004831AB">
        <w:rPr>
          <w:rFonts w:ascii="Times New Roman" w:hAnsi="Times New Roman" w:cs="Times New Roman"/>
          <w:sz w:val="24"/>
          <w:szCs w:val="24"/>
          <w:lang w:val="sr-Cyrl-CS"/>
        </w:rPr>
        <w:t>”</w:t>
      </w:r>
      <w:r w:rsidR="00986793" w:rsidRPr="004831AB">
        <w:rPr>
          <w:rFonts w:ascii="Times New Roman" w:hAnsi="Times New Roman" w:cs="Times New Roman"/>
          <w:sz w:val="24"/>
          <w:szCs w:val="24"/>
          <w:lang w:val="sr-Cyrl-CS"/>
        </w:rPr>
        <w:t>, бр. 104/09, 99/11 - др. закон, 71/12 - УС, 83/14, 113/17, 44/</w:t>
      </w:r>
      <w:r w:rsidR="008D10BA" w:rsidRPr="004831AB">
        <w:rPr>
          <w:rFonts w:ascii="Times New Roman" w:hAnsi="Times New Roman" w:cs="Times New Roman"/>
          <w:sz w:val="24"/>
          <w:szCs w:val="24"/>
          <w:lang w:val="sr-Cyrl-CS"/>
        </w:rPr>
        <w:t xml:space="preserve">18 и </w:t>
      </w:r>
      <w:r w:rsidR="00986793" w:rsidRPr="004831AB">
        <w:rPr>
          <w:rFonts w:ascii="Times New Roman" w:hAnsi="Times New Roman" w:cs="Times New Roman"/>
          <w:sz w:val="24"/>
          <w:szCs w:val="24"/>
          <w:lang w:val="sr-Cyrl-CS"/>
        </w:rPr>
        <w:t>95/</w:t>
      </w:r>
      <w:r w:rsidR="008D10BA" w:rsidRPr="004831AB">
        <w:rPr>
          <w:rFonts w:ascii="Times New Roman" w:hAnsi="Times New Roman" w:cs="Times New Roman"/>
          <w:sz w:val="24"/>
          <w:szCs w:val="24"/>
          <w:lang w:val="sr-Cyrl-CS"/>
        </w:rPr>
        <w:t>18)</w:t>
      </w:r>
      <w:r w:rsidRPr="004831AB">
        <w:rPr>
          <w:rFonts w:ascii="Times New Roman" w:hAnsi="Times New Roman" w:cs="Times New Roman"/>
          <w:sz w:val="24"/>
          <w:szCs w:val="24"/>
          <w:lang w:val="sr-Cyrl-CS"/>
        </w:rPr>
        <w:t>, којим се</w:t>
      </w:r>
      <w:r w:rsidR="008D10BA" w:rsidRPr="004831AB">
        <w:rPr>
          <w:rFonts w:ascii="Times New Roman" w:hAnsi="Times New Roman" w:cs="Times New Roman"/>
          <w:sz w:val="24"/>
          <w:szCs w:val="24"/>
          <w:lang w:val="sr-Cyrl-CS"/>
        </w:rPr>
        <w:t xml:space="preserve"> уређуј</w:t>
      </w:r>
      <w:r w:rsidRPr="004831AB">
        <w:rPr>
          <w:rFonts w:ascii="Times New Roman" w:hAnsi="Times New Roman" w:cs="Times New Roman"/>
          <w:sz w:val="24"/>
          <w:szCs w:val="24"/>
          <w:lang w:val="sr-Cyrl-CS"/>
        </w:rPr>
        <w:t>у</w:t>
      </w:r>
      <w:r w:rsidR="00986793" w:rsidRPr="004831AB">
        <w:rPr>
          <w:rFonts w:ascii="Times New Roman" w:hAnsi="Times New Roman" w:cs="Times New Roman"/>
          <w:sz w:val="24"/>
          <w:szCs w:val="24"/>
          <w:lang w:val="sr-Cyrl-CS"/>
        </w:rPr>
        <w:t xml:space="preserve"> услови</w:t>
      </w:r>
      <w:r w:rsidR="008D10BA" w:rsidRPr="004831AB">
        <w:rPr>
          <w:rFonts w:ascii="Times New Roman" w:hAnsi="Times New Roman" w:cs="Times New Roman"/>
          <w:sz w:val="24"/>
          <w:szCs w:val="24"/>
          <w:lang w:val="sr-Cyrl-CS"/>
        </w:rPr>
        <w:t xml:space="preserve"> и начин покретања и спровођења стечаја над правним лицима. </w:t>
      </w:r>
    </w:p>
    <w:p w14:paraId="749D7BC8" w14:textId="1309CA31" w:rsidR="001C32DE" w:rsidRPr="004831AB" w:rsidRDefault="00B0232B"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 xml:space="preserve">Поред </w:t>
      </w:r>
      <w:r w:rsidR="00C60BC0" w:rsidRPr="004831AB">
        <w:rPr>
          <w:rFonts w:ascii="Times New Roman" w:hAnsi="Times New Roman" w:cs="Times New Roman"/>
          <w:sz w:val="24"/>
          <w:szCs w:val="24"/>
          <w:lang w:val="sr-Cyrl-CS"/>
        </w:rPr>
        <w:t>наведених</w:t>
      </w:r>
      <w:r w:rsidR="001C32DE" w:rsidRPr="004831AB">
        <w:rPr>
          <w:rFonts w:ascii="Times New Roman" w:hAnsi="Times New Roman" w:cs="Times New Roman"/>
          <w:sz w:val="24"/>
          <w:szCs w:val="24"/>
          <w:lang w:val="sr-Cyrl-CS"/>
        </w:rPr>
        <w:t xml:space="preserve"> закона</w:t>
      </w:r>
      <w:r w:rsidRPr="004831AB">
        <w:rPr>
          <w:rFonts w:ascii="Times New Roman" w:hAnsi="Times New Roman" w:cs="Times New Roman"/>
          <w:sz w:val="24"/>
          <w:szCs w:val="24"/>
          <w:lang w:val="sr-Cyrl-CS"/>
        </w:rPr>
        <w:t xml:space="preserve">, правни оквир за пословање МСПП чине </w:t>
      </w:r>
      <w:r w:rsidR="00C60BC0" w:rsidRPr="004831AB">
        <w:rPr>
          <w:rFonts w:ascii="Times New Roman" w:hAnsi="Times New Roman" w:cs="Times New Roman"/>
          <w:sz w:val="24"/>
          <w:szCs w:val="24"/>
          <w:lang w:val="sr-Cyrl-CS"/>
        </w:rPr>
        <w:t xml:space="preserve">и други </w:t>
      </w:r>
      <w:r w:rsidRPr="004831AB">
        <w:rPr>
          <w:rFonts w:ascii="Times New Roman" w:hAnsi="Times New Roman" w:cs="Times New Roman"/>
          <w:sz w:val="24"/>
          <w:szCs w:val="24"/>
          <w:lang w:val="sr-Cyrl-CS"/>
        </w:rPr>
        <w:t xml:space="preserve"> </w:t>
      </w:r>
      <w:r w:rsidR="00C60BC0" w:rsidRPr="004831AB">
        <w:rPr>
          <w:rFonts w:ascii="Times New Roman" w:hAnsi="Times New Roman" w:cs="Times New Roman"/>
          <w:sz w:val="24"/>
          <w:szCs w:val="24"/>
          <w:lang w:val="sr-Cyrl-CS"/>
        </w:rPr>
        <w:t xml:space="preserve">прописи </w:t>
      </w:r>
      <w:r w:rsidRPr="004831AB">
        <w:rPr>
          <w:rFonts w:ascii="Times New Roman" w:hAnsi="Times New Roman" w:cs="Times New Roman"/>
          <w:sz w:val="24"/>
          <w:szCs w:val="24"/>
          <w:lang w:val="sr-Cyrl-CS"/>
        </w:rPr>
        <w:t xml:space="preserve">који имају утицаја на пословно окружење и услове пословања привредних субјеката, односно посредно утичу на рад МСПП, </w:t>
      </w:r>
      <w:r w:rsidR="000011A9" w:rsidRPr="004831AB">
        <w:rPr>
          <w:rFonts w:ascii="Times New Roman" w:hAnsi="Times New Roman" w:cs="Times New Roman"/>
          <w:sz w:val="24"/>
          <w:szCs w:val="24"/>
          <w:lang w:val="sr-Cyrl-CS"/>
        </w:rPr>
        <w:t>као што су, поред осталог</w:t>
      </w:r>
      <w:r w:rsidR="00C60BC0" w:rsidRPr="004831AB">
        <w:rPr>
          <w:rFonts w:ascii="Times New Roman" w:hAnsi="Times New Roman" w:cs="Times New Roman"/>
          <w:sz w:val="24"/>
          <w:szCs w:val="24"/>
          <w:lang w:val="sr-Cyrl-CS"/>
        </w:rPr>
        <w:t xml:space="preserve"> </w:t>
      </w:r>
      <w:r w:rsidR="006E3886" w:rsidRPr="004831AB">
        <w:rPr>
          <w:rFonts w:ascii="Times New Roman" w:hAnsi="Times New Roman" w:cs="Times New Roman"/>
          <w:sz w:val="24"/>
          <w:szCs w:val="24"/>
          <w:lang w:val="sr-Cyrl-CS"/>
        </w:rPr>
        <w:t xml:space="preserve"> </w:t>
      </w:r>
      <w:r w:rsidR="00C60BC0" w:rsidRPr="004831AB">
        <w:rPr>
          <w:rFonts w:ascii="Times New Roman" w:hAnsi="Times New Roman" w:cs="Times New Roman"/>
          <w:sz w:val="24"/>
          <w:szCs w:val="24"/>
          <w:lang w:val="sr-Cyrl-CS"/>
        </w:rPr>
        <w:t>прописи у области заштит</w:t>
      </w:r>
      <w:r w:rsidR="007F20A7" w:rsidRPr="004831AB">
        <w:rPr>
          <w:rFonts w:ascii="Times New Roman" w:hAnsi="Times New Roman" w:cs="Times New Roman"/>
          <w:sz w:val="24"/>
          <w:szCs w:val="24"/>
          <w:lang w:val="sr-Cyrl-CS"/>
        </w:rPr>
        <w:t>е</w:t>
      </w:r>
      <w:r w:rsidR="00C60BC0" w:rsidRPr="004831AB">
        <w:rPr>
          <w:rFonts w:ascii="Times New Roman" w:hAnsi="Times New Roman" w:cs="Times New Roman"/>
          <w:sz w:val="24"/>
          <w:szCs w:val="24"/>
          <w:lang w:val="sr-Cyrl-CS"/>
        </w:rPr>
        <w:t xml:space="preserve"> права потрошача, прописи у области екологије којима се дефинишу обавезе привредних субјеката у односу на заштиту животне средине, </w:t>
      </w:r>
      <w:r w:rsidRPr="004831AB">
        <w:rPr>
          <w:rFonts w:ascii="Times New Roman" w:hAnsi="Times New Roman" w:cs="Times New Roman"/>
          <w:sz w:val="24"/>
          <w:szCs w:val="24"/>
          <w:lang w:val="sr-Cyrl-CS"/>
        </w:rPr>
        <w:t xml:space="preserve">као и секторско законодавство, релевантно према делатностима које обављају МСПП. </w:t>
      </w:r>
    </w:p>
    <w:p w14:paraId="58A298DF" w14:textId="7B013881" w:rsidR="00C60BC0" w:rsidRPr="004831AB" w:rsidRDefault="00C60BC0"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Закон о социјалном предузетништву</w:t>
      </w:r>
      <w:r w:rsidR="000461D7" w:rsidRPr="004831AB">
        <w:rPr>
          <w:rFonts w:ascii="Times New Roman" w:hAnsi="Times New Roman" w:cs="Times New Roman"/>
          <w:sz w:val="24"/>
          <w:szCs w:val="24"/>
          <w:lang w:val="sr-Cyrl-CS"/>
        </w:rPr>
        <w:t xml:space="preserve"> („Службени</w:t>
      </w:r>
      <w:r w:rsidRPr="004831AB">
        <w:rPr>
          <w:rFonts w:ascii="Times New Roman" w:hAnsi="Times New Roman" w:cs="Times New Roman"/>
          <w:sz w:val="24"/>
          <w:szCs w:val="24"/>
          <w:lang w:val="sr-Cyrl-CS"/>
        </w:rPr>
        <w:t xml:space="preserve"> гласник РС”, брoj</w:t>
      </w:r>
      <w:r w:rsidR="000461D7" w:rsidRPr="004831AB">
        <w:rPr>
          <w:rFonts w:ascii="Times New Roman" w:hAnsi="Times New Roman" w:cs="Times New Roman"/>
          <w:sz w:val="24"/>
          <w:szCs w:val="24"/>
          <w:lang w:val="sr-Cyrl-CS"/>
        </w:rPr>
        <w:t xml:space="preserve"> 14/</w:t>
      </w:r>
      <w:r w:rsidRPr="004831AB">
        <w:rPr>
          <w:rFonts w:ascii="Times New Roman" w:hAnsi="Times New Roman" w:cs="Times New Roman"/>
          <w:sz w:val="24"/>
          <w:szCs w:val="24"/>
          <w:lang w:val="sr-Cyrl-CS"/>
        </w:rPr>
        <w:t xml:space="preserve">22) уређује појам, циљеве, начела и област деловања социјалног предузетништва, условe за стицање и престанак статуса социјалног предузетништва и друга питања од значаја​​ за социјално предузетништво у Републици Србији и </w:t>
      </w:r>
      <w:r w:rsidR="00242540" w:rsidRPr="004831AB">
        <w:rPr>
          <w:rFonts w:ascii="Times New Roman" w:hAnsi="Times New Roman" w:cs="Times New Roman"/>
          <w:sz w:val="24"/>
          <w:szCs w:val="24"/>
          <w:lang w:val="sr-Cyrl-CS"/>
        </w:rPr>
        <w:t xml:space="preserve">који као једини закон </w:t>
      </w:r>
      <w:r w:rsidRPr="004831AB">
        <w:rPr>
          <w:rFonts w:ascii="Times New Roman" w:hAnsi="Times New Roman" w:cs="Times New Roman"/>
          <w:sz w:val="24"/>
          <w:szCs w:val="24"/>
          <w:lang w:val="sr-Cyrl-CS"/>
        </w:rPr>
        <w:t>на посебан начин одр</w:t>
      </w:r>
      <w:r w:rsidR="003D302F" w:rsidRPr="004831AB">
        <w:rPr>
          <w:rFonts w:ascii="Times New Roman" w:hAnsi="Times New Roman" w:cs="Times New Roman"/>
          <w:sz w:val="24"/>
          <w:szCs w:val="24"/>
          <w:lang w:val="sr-Cyrl-CS"/>
        </w:rPr>
        <w:t>е</w:t>
      </w:r>
      <w:r w:rsidR="00552F63" w:rsidRPr="004831AB">
        <w:rPr>
          <w:rFonts w:ascii="Times New Roman" w:hAnsi="Times New Roman" w:cs="Times New Roman"/>
          <w:sz w:val="24"/>
          <w:szCs w:val="24"/>
          <w:lang w:val="sr-Cyrl-CS"/>
        </w:rPr>
        <w:t>ђује</w:t>
      </w:r>
      <w:r w:rsidRPr="004831AB">
        <w:rPr>
          <w:rFonts w:ascii="Times New Roman" w:hAnsi="Times New Roman" w:cs="Times New Roman"/>
          <w:sz w:val="24"/>
          <w:szCs w:val="24"/>
          <w:lang w:val="sr-Cyrl-CS"/>
        </w:rPr>
        <w:t xml:space="preserve"> сп</w:t>
      </w:r>
      <w:r w:rsidR="007456DF" w:rsidRPr="004831AB">
        <w:rPr>
          <w:rFonts w:ascii="Times New Roman" w:hAnsi="Times New Roman" w:cs="Times New Roman"/>
          <w:sz w:val="24"/>
          <w:szCs w:val="24"/>
          <w:lang w:val="sr-Cyrl-CS"/>
        </w:rPr>
        <w:t>ецифичну област предузетништва.</w:t>
      </w:r>
      <w:r w:rsidRPr="004831AB">
        <w:rPr>
          <w:rFonts w:ascii="Times New Roman" w:hAnsi="Times New Roman" w:cs="Times New Roman"/>
          <w:sz w:val="24"/>
          <w:szCs w:val="24"/>
          <w:lang w:val="sr-Cyrl-CS"/>
        </w:rPr>
        <w:t xml:space="preserve"> </w:t>
      </w:r>
    </w:p>
    <w:p w14:paraId="659BEA58" w14:textId="5ED0E845" w:rsidR="001337FD" w:rsidRPr="004831AB" w:rsidRDefault="001337FD"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Уредба о правилима за доделу државне помоћи </w:t>
      </w:r>
      <w:r w:rsidRPr="004831AB">
        <w:rPr>
          <w:rFonts w:ascii="Times New Roman" w:hAnsi="Times New Roman" w:cs="Times New Roman"/>
          <w:sz w:val="24"/>
          <w:szCs w:val="24"/>
          <w:lang w:val="sr-Cyrl-CS"/>
        </w:rPr>
        <w:t>(,,</w:t>
      </w:r>
      <w:r w:rsidR="007456DF" w:rsidRPr="004831AB">
        <w:rPr>
          <w:rFonts w:ascii="Times New Roman" w:hAnsi="Times New Roman" w:cs="Times New Roman"/>
          <w:sz w:val="24"/>
          <w:szCs w:val="24"/>
          <w:lang w:val="sr-Cyrl-CS"/>
        </w:rPr>
        <w:t>Службени</w:t>
      </w:r>
      <w:r w:rsidRPr="004831AB">
        <w:rPr>
          <w:rFonts w:ascii="Times New Roman" w:hAnsi="Times New Roman" w:cs="Times New Roman"/>
          <w:sz w:val="24"/>
          <w:szCs w:val="24"/>
          <w:lang w:val="sr-Cyrl-CS"/>
        </w:rPr>
        <w:t xml:space="preserve"> гласник РС”</w:t>
      </w:r>
      <w:r w:rsidR="007456DF" w:rsidRPr="004831AB">
        <w:rPr>
          <w:rFonts w:ascii="Times New Roman" w:hAnsi="Times New Roman" w:cs="Times New Roman"/>
          <w:sz w:val="24"/>
          <w:szCs w:val="24"/>
          <w:lang w:val="sr-Cyrl-CS"/>
        </w:rPr>
        <w:t>, бр. 13/10, 100/11, 91/12, 37/13, 97/13, 119/14, 23/</w:t>
      </w:r>
      <w:r w:rsidRPr="004831AB">
        <w:rPr>
          <w:rFonts w:ascii="Times New Roman" w:hAnsi="Times New Roman" w:cs="Times New Roman"/>
          <w:sz w:val="24"/>
          <w:szCs w:val="24"/>
          <w:lang w:val="sr-Cyrl-CS"/>
        </w:rPr>
        <w:t>21 - др. уредбa</w:t>
      </w:r>
      <w:r w:rsidR="007456DF" w:rsidRPr="004831AB">
        <w:rPr>
          <w:rFonts w:ascii="Times New Roman" w:hAnsi="Times New Roman" w:cs="Times New Roman"/>
          <w:sz w:val="24"/>
          <w:szCs w:val="24"/>
          <w:lang w:val="sr-Cyrl-CS"/>
        </w:rPr>
        <w:t>, 23/21 - др. уредба, 62/</w:t>
      </w:r>
      <w:r w:rsidRPr="004831AB">
        <w:rPr>
          <w:rFonts w:ascii="Times New Roman" w:hAnsi="Times New Roman" w:cs="Times New Roman"/>
          <w:sz w:val="24"/>
          <w:szCs w:val="24"/>
          <w:lang w:val="sr-Cyrl-CS"/>
        </w:rPr>
        <w:t>21 - др. уредбa</w:t>
      </w:r>
      <w:r w:rsidR="007456DF" w:rsidRPr="004831AB">
        <w:rPr>
          <w:rFonts w:ascii="Times New Roman" w:hAnsi="Times New Roman" w:cs="Times New Roman"/>
          <w:sz w:val="24"/>
          <w:szCs w:val="24"/>
          <w:lang w:val="sr-Cyrl-CS"/>
        </w:rPr>
        <w:t>, 62/21 - др. уредбa, 62/21 - др. уредбa, 99/</w:t>
      </w:r>
      <w:r w:rsidRPr="004831AB">
        <w:rPr>
          <w:rFonts w:ascii="Times New Roman" w:hAnsi="Times New Roman" w:cs="Times New Roman"/>
          <w:sz w:val="24"/>
          <w:szCs w:val="24"/>
          <w:lang w:val="sr-Cyrl-CS"/>
        </w:rPr>
        <w:t>21 - др. уредбa</w:t>
      </w:r>
      <w:r w:rsidR="007456DF" w:rsidRPr="004831AB">
        <w:rPr>
          <w:rFonts w:ascii="Times New Roman" w:hAnsi="Times New Roman" w:cs="Times New Roman"/>
          <w:sz w:val="24"/>
          <w:szCs w:val="24"/>
          <w:lang w:val="sr-Cyrl-CS"/>
        </w:rPr>
        <w:t xml:space="preserve">, 99/21 - др. уредбa, 20/23 - др. уредбa, 43/23 - др. уредбa и 48/23 - др. уредбa </w:t>
      </w:r>
      <w:r w:rsidRPr="004831AB">
        <w:rPr>
          <w:rFonts w:ascii="Times New Roman" w:hAnsi="Times New Roman" w:cs="Times New Roman"/>
          <w:sz w:val="24"/>
          <w:szCs w:val="24"/>
          <w:lang w:val="sr-Cyrl-CS"/>
        </w:rPr>
        <w:t xml:space="preserve">), ближе уређујe правила за доделу државне помоћи, односно за оцену дозвољености пријављене или додељене државне помоћи, ради усклађивања са садржином инструмената тумачења којe су у вези са државном помоћи усвојиле институције Европске заједнице. Посебан значај ова </w:t>
      </w:r>
      <w:r w:rsidR="007F20A7" w:rsidRPr="004831AB">
        <w:rPr>
          <w:rFonts w:ascii="Times New Roman" w:hAnsi="Times New Roman" w:cs="Times New Roman"/>
          <w:sz w:val="24"/>
          <w:szCs w:val="24"/>
          <w:lang w:val="sr-Cyrl-CS"/>
        </w:rPr>
        <w:t>у</w:t>
      </w:r>
      <w:r w:rsidRPr="004831AB">
        <w:rPr>
          <w:rFonts w:ascii="Times New Roman" w:hAnsi="Times New Roman" w:cs="Times New Roman"/>
          <w:sz w:val="24"/>
          <w:szCs w:val="24"/>
          <w:lang w:val="sr-Cyrl-CS"/>
        </w:rPr>
        <w:t>редба за сектор МСПП има због одредб</w:t>
      </w:r>
      <w:r w:rsidR="007F20A7" w:rsidRPr="004831AB">
        <w:rPr>
          <w:rFonts w:ascii="Times New Roman" w:hAnsi="Times New Roman" w:cs="Times New Roman"/>
          <w:sz w:val="24"/>
          <w:szCs w:val="24"/>
          <w:lang w:val="sr-Cyrl-CS"/>
        </w:rPr>
        <w:t>е</w:t>
      </w:r>
      <w:r w:rsidRPr="004831AB">
        <w:rPr>
          <w:rFonts w:ascii="Times New Roman" w:hAnsi="Times New Roman" w:cs="Times New Roman"/>
          <w:sz w:val="24"/>
          <w:szCs w:val="24"/>
          <w:lang w:val="sr-Cyrl-CS"/>
        </w:rPr>
        <w:t xml:space="preserve"> чл</w:t>
      </w:r>
      <w:r w:rsidR="007F20A7" w:rsidRPr="004831AB">
        <w:rPr>
          <w:rFonts w:ascii="Times New Roman" w:hAnsi="Times New Roman" w:cs="Times New Roman"/>
          <w:sz w:val="24"/>
          <w:szCs w:val="24"/>
          <w:lang w:val="sr-Cyrl-CS"/>
        </w:rPr>
        <w:t>ана</w:t>
      </w:r>
      <w:r w:rsidRPr="004831AB">
        <w:rPr>
          <w:rFonts w:ascii="Times New Roman" w:hAnsi="Times New Roman" w:cs="Times New Roman"/>
          <w:sz w:val="24"/>
          <w:szCs w:val="24"/>
          <w:lang w:val="sr-Cyrl-CS"/>
        </w:rPr>
        <w:t xml:space="preserve"> 2а, која уређује мерила за одређивање малих, средњих и великих привредних субјеката, </w:t>
      </w:r>
      <w:r w:rsidR="007F20A7" w:rsidRPr="004831AB">
        <w:rPr>
          <w:rFonts w:ascii="Times New Roman" w:hAnsi="Times New Roman" w:cs="Times New Roman"/>
          <w:sz w:val="24"/>
          <w:szCs w:val="24"/>
          <w:lang w:val="sr-Cyrl-CS"/>
        </w:rPr>
        <w:t xml:space="preserve">а </w:t>
      </w:r>
      <w:r w:rsidRPr="004831AB">
        <w:rPr>
          <w:rFonts w:ascii="Times New Roman" w:hAnsi="Times New Roman" w:cs="Times New Roman"/>
          <w:sz w:val="24"/>
          <w:szCs w:val="24"/>
          <w:lang w:val="sr-Cyrl-CS"/>
        </w:rPr>
        <w:t xml:space="preserve">користи </w:t>
      </w:r>
      <w:r w:rsidR="007F20A7" w:rsidRPr="004831AB">
        <w:rPr>
          <w:rFonts w:ascii="Times New Roman" w:hAnsi="Times New Roman" w:cs="Times New Roman"/>
          <w:sz w:val="24"/>
          <w:szCs w:val="24"/>
          <w:lang w:val="sr-Cyrl-CS"/>
        </w:rPr>
        <w:t xml:space="preserve">се </w:t>
      </w:r>
      <w:r w:rsidRPr="004831AB">
        <w:rPr>
          <w:rFonts w:ascii="Times New Roman" w:hAnsi="Times New Roman" w:cs="Times New Roman"/>
          <w:sz w:val="24"/>
          <w:szCs w:val="24"/>
          <w:lang w:val="sr-Cyrl-CS"/>
        </w:rPr>
        <w:t xml:space="preserve">приликом доделе подстицаја овом сектору.  </w:t>
      </w:r>
    </w:p>
    <w:p w14:paraId="297A2463" w14:textId="31E57261" w:rsidR="001337FD" w:rsidRPr="004831AB" w:rsidRDefault="001337FD" w:rsidP="00270063">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смислу </w:t>
      </w:r>
      <w:r w:rsidR="00FF7AD5" w:rsidRPr="004831AB">
        <w:rPr>
          <w:rFonts w:ascii="Times New Roman" w:hAnsi="Times New Roman" w:cs="Times New Roman"/>
          <w:sz w:val="24"/>
          <w:szCs w:val="24"/>
          <w:lang w:val="sr-Cyrl-CS"/>
        </w:rPr>
        <w:t xml:space="preserve">Уредбе о </w:t>
      </w:r>
      <w:r w:rsidR="00FF7AD5" w:rsidRPr="004831AB">
        <w:rPr>
          <w:rFonts w:ascii="Times New Roman" w:hAnsi="Times New Roman" w:cs="Times New Roman"/>
          <w:bCs/>
          <w:sz w:val="24"/>
          <w:szCs w:val="24"/>
          <w:lang w:val="sr-Cyrl-CS"/>
        </w:rPr>
        <w:t>правилима за доделу државне помоћи</w:t>
      </w:r>
      <w:r w:rsidRPr="004831AB">
        <w:rPr>
          <w:rFonts w:ascii="Times New Roman" w:hAnsi="Times New Roman" w:cs="Times New Roman"/>
          <w:sz w:val="24"/>
          <w:szCs w:val="24"/>
          <w:lang w:val="sr-Cyrl-CS"/>
        </w:rPr>
        <w:t xml:space="preserve">: </w:t>
      </w:r>
    </w:p>
    <w:p w14:paraId="4DD2AB74" w14:textId="66BF8EEF" w:rsidR="001337FD" w:rsidRPr="004831AB" w:rsidRDefault="00ED4DBF"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 </w:t>
      </w:r>
      <w:r w:rsidR="00270063" w:rsidRPr="004831AB">
        <w:rPr>
          <w:rFonts w:ascii="Times New Roman" w:hAnsi="Times New Roman" w:cs="Times New Roman"/>
          <w:sz w:val="24"/>
          <w:szCs w:val="24"/>
          <w:lang w:val="sr-Cyrl-CS"/>
        </w:rPr>
        <w:t>м</w:t>
      </w:r>
      <w:r w:rsidR="001337FD" w:rsidRPr="004831AB">
        <w:rPr>
          <w:rFonts w:ascii="Times New Roman" w:hAnsi="Times New Roman" w:cs="Times New Roman"/>
          <w:sz w:val="24"/>
          <w:szCs w:val="24"/>
          <w:lang w:val="sr-Cyrl-CS"/>
        </w:rPr>
        <w:t>али привредни субјект је привредни субјект за који се утврди да има мање од 50 запослених и ако је његов годишњи промет и/или укупан годишњи биланс мањи од 10 милиона евра у динарској противвредности.</w:t>
      </w:r>
    </w:p>
    <w:p w14:paraId="2608518A" w14:textId="6C4525DA" w:rsidR="001337FD" w:rsidRPr="004831AB" w:rsidRDefault="00270063" w:rsidP="007C3874">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с</w:t>
      </w:r>
      <w:r w:rsidR="001337FD" w:rsidRPr="004831AB">
        <w:rPr>
          <w:rFonts w:ascii="Times New Roman" w:hAnsi="Times New Roman" w:cs="Times New Roman"/>
          <w:sz w:val="24"/>
          <w:szCs w:val="24"/>
          <w:lang w:val="sr-Cyrl-CS"/>
        </w:rPr>
        <w:t>редњи привредни субјект је привредни субјект за који се утврди да има између 50 и 250 запослених и ако је његов годишњи промет мањи од 50 милиона евра и/или укупан годишњи биланс мањи од 43 милиона евра у динарској противвредности.</w:t>
      </w:r>
    </w:p>
    <w:p w14:paraId="5F2C2CB9" w14:textId="4E254803" w:rsidR="00C60BC0" w:rsidRPr="004831AB" w:rsidRDefault="00270063" w:rsidP="001213C5">
      <w:pPr>
        <w:spacing w:after="120"/>
        <w:ind w:firstLine="714"/>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в</w:t>
      </w:r>
      <w:r w:rsidR="001337FD" w:rsidRPr="004831AB">
        <w:rPr>
          <w:rFonts w:ascii="Times New Roman" w:hAnsi="Times New Roman" w:cs="Times New Roman"/>
          <w:sz w:val="24"/>
          <w:szCs w:val="24"/>
          <w:lang w:val="sr-Cyrl-CS"/>
        </w:rPr>
        <w:t>елики привредни субјект је привредни субјект који није сре</w:t>
      </w:r>
      <w:r w:rsidR="001213C5" w:rsidRPr="004831AB">
        <w:rPr>
          <w:rFonts w:ascii="Times New Roman" w:hAnsi="Times New Roman" w:cs="Times New Roman"/>
          <w:sz w:val="24"/>
          <w:szCs w:val="24"/>
          <w:lang w:val="sr-Cyrl-CS"/>
        </w:rPr>
        <w:t>дњи или мали привредни субјект.</w:t>
      </w:r>
    </w:p>
    <w:bookmarkEnd w:id="0"/>
    <w:p w14:paraId="3CBCA0F4" w14:textId="77777777" w:rsidR="00E07095" w:rsidRPr="004831AB" w:rsidRDefault="002F549E" w:rsidP="007C3874">
      <w:pPr>
        <w:spacing w:after="120" w:line="240" w:lineRule="auto"/>
        <w:ind w:firstLine="714"/>
        <w:jc w:val="both"/>
        <w:rPr>
          <w:rFonts w:ascii="Times New Roman" w:hAnsi="Times New Roman"/>
          <w:sz w:val="24"/>
          <w:szCs w:val="24"/>
          <w:lang w:val="sr-Cyrl-CS"/>
        </w:rPr>
      </w:pPr>
      <w:r w:rsidRPr="004831AB">
        <w:rPr>
          <w:rFonts w:ascii="Times New Roman" w:hAnsi="Times New Roman"/>
          <w:sz w:val="24"/>
          <w:szCs w:val="24"/>
          <w:lang w:val="sr-Cyrl-CS"/>
        </w:rPr>
        <w:t xml:space="preserve">У току израде ове стратегије, </w:t>
      </w:r>
      <w:r w:rsidR="004E0523" w:rsidRPr="004831AB">
        <w:rPr>
          <w:rFonts w:ascii="Times New Roman" w:hAnsi="Times New Roman"/>
          <w:sz w:val="24"/>
          <w:szCs w:val="24"/>
          <w:lang w:val="sr-Cyrl-CS"/>
        </w:rPr>
        <w:t xml:space="preserve">идентификовано је </w:t>
      </w:r>
      <w:r w:rsidR="009C4523" w:rsidRPr="004831AB">
        <w:rPr>
          <w:rFonts w:ascii="Times New Roman" w:hAnsi="Times New Roman"/>
          <w:sz w:val="24"/>
          <w:szCs w:val="24"/>
          <w:lang w:val="sr-Cyrl-CS"/>
        </w:rPr>
        <w:t xml:space="preserve">више од </w:t>
      </w:r>
      <w:r w:rsidRPr="004831AB">
        <w:rPr>
          <w:rFonts w:ascii="Times New Roman" w:hAnsi="Times New Roman"/>
          <w:sz w:val="24"/>
          <w:szCs w:val="24"/>
          <w:lang w:val="sr-Cyrl-CS"/>
        </w:rPr>
        <w:t xml:space="preserve">20 других докумената јавне политике (стратегије и програми) од значаја за сектор МСПП. </w:t>
      </w:r>
    </w:p>
    <w:p w14:paraId="2B779220" w14:textId="013E1021" w:rsidR="00E07095" w:rsidRPr="004831AB" w:rsidRDefault="00242089" w:rsidP="00992E80">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Д</w:t>
      </w:r>
      <w:r w:rsidR="00E07095" w:rsidRPr="004831AB">
        <w:rPr>
          <w:rFonts w:ascii="Times New Roman" w:eastAsia="Calibri" w:hAnsi="Times New Roman" w:cs="Times New Roman"/>
          <w:sz w:val="24"/>
          <w:szCs w:val="24"/>
          <w:lang w:val="sr-Cyrl-CS"/>
        </w:rPr>
        <w:t>окумен</w:t>
      </w:r>
      <w:r w:rsidRPr="004831AB">
        <w:rPr>
          <w:rFonts w:ascii="Times New Roman" w:eastAsia="Calibri" w:hAnsi="Times New Roman" w:cs="Times New Roman"/>
          <w:sz w:val="24"/>
          <w:szCs w:val="24"/>
          <w:lang w:val="sr-Cyrl-CS"/>
        </w:rPr>
        <w:t>та</w:t>
      </w:r>
      <w:r w:rsidR="00E07095" w:rsidRPr="004831AB">
        <w:rPr>
          <w:rFonts w:ascii="Times New Roman" w:eastAsia="Calibri" w:hAnsi="Times New Roman" w:cs="Times New Roman"/>
          <w:sz w:val="24"/>
          <w:szCs w:val="24"/>
          <w:lang w:val="sr-Cyrl-CS"/>
        </w:rPr>
        <w:t xml:space="preserve"> јавне политике, односно стратегиј</w:t>
      </w:r>
      <w:r w:rsidR="00C51EE4" w:rsidRPr="004831AB">
        <w:rPr>
          <w:rFonts w:ascii="Times New Roman" w:eastAsia="Calibri" w:hAnsi="Times New Roman" w:cs="Times New Roman"/>
          <w:sz w:val="24"/>
          <w:szCs w:val="24"/>
          <w:lang w:val="sr-Cyrl-CS"/>
        </w:rPr>
        <w:t>е</w:t>
      </w:r>
      <w:r w:rsidR="00E07095" w:rsidRPr="004831AB">
        <w:rPr>
          <w:rFonts w:ascii="Times New Roman" w:eastAsia="Calibri" w:hAnsi="Times New Roman" w:cs="Times New Roman"/>
          <w:sz w:val="24"/>
          <w:szCs w:val="24"/>
          <w:lang w:val="sr-Cyrl-CS"/>
        </w:rPr>
        <w:t xml:space="preserve"> и програм</w:t>
      </w:r>
      <w:r w:rsidR="00C51EE4" w:rsidRPr="004831AB">
        <w:rPr>
          <w:rFonts w:ascii="Times New Roman" w:eastAsia="Calibri" w:hAnsi="Times New Roman" w:cs="Times New Roman"/>
          <w:sz w:val="24"/>
          <w:szCs w:val="24"/>
          <w:lang w:val="sr-Cyrl-CS"/>
        </w:rPr>
        <w:t>и</w:t>
      </w:r>
      <w:r w:rsidR="00D96F63" w:rsidRPr="004831AB">
        <w:rPr>
          <w:rFonts w:ascii="Times New Roman" w:eastAsia="Calibri" w:hAnsi="Times New Roman" w:cs="Times New Roman"/>
          <w:sz w:val="24"/>
          <w:szCs w:val="24"/>
          <w:lang w:val="sr-Cyrl-CS"/>
        </w:rPr>
        <w:t>, са посебним освртом на мере</w:t>
      </w:r>
      <w:r w:rsidR="00E07095" w:rsidRPr="004831AB">
        <w:rPr>
          <w:rFonts w:ascii="Times New Roman" w:eastAsia="Calibri" w:hAnsi="Times New Roman" w:cs="Times New Roman"/>
          <w:sz w:val="24"/>
          <w:szCs w:val="24"/>
          <w:lang w:val="sr-Cyrl-CS"/>
        </w:rPr>
        <w:t xml:space="preserve"> кој</w:t>
      </w:r>
      <w:r w:rsidR="00D96F63" w:rsidRPr="004831AB">
        <w:rPr>
          <w:rFonts w:ascii="Times New Roman" w:eastAsia="Calibri" w:hAnsi="Times New Roman" w:cs="Times New Roman"/>
          <w:sz w:val="24"/>
          <w:szCs w:val="24"/>
          <w:lang w:val="sr-Cyrl-CS"/>
        </w:rPr>
        <w:t>е</w:t>
      </w:r>
      <w:r w:rsidR="00E07095" w:rsidRPr="004831AB">
        <w:rPr>
          <w:rFonts w:ascii="Times New Roman" w:eastAsia="Calibri" w:hAnsi="Times New Roman" w:cs="Times New Roman"/>
          <w:sz w:val="24"/>
          <w:szCs w:val="24"/>
          <w:lang w:val="sr-Cyrl-CS"/>
        </w:rPr>
        <w:t xml:space="preserve"> се непосредно или посредно односе на мала, средња предузећа и предузетнике, </w:t>
      </w:r>
      <w:r w:rsidR="00B96C15" w:rsidRPr="004831AB">
        <w:rPr>
          <w:rFonts w:ascii="Times New Roman" w:eastAsia="Calibri" w:hAnsi="Times New Roman" w:cs="Times New Roman"/>
          <w:sz w:val="24"/>
          <w:szCs w:val="24"/>
          <w:lang w:val="sr-Cyrl-CS"/>
        </w:rPr>
        <w:t>однос</w:t>
      </w:r>
      <w:r w:rsidR="006E3F91" w:rsidRPr="004831AB">
        <w:rPr>
          <w:rFonts w:ascii="Times New Roman" w:eastAsia="Calibri" w:hAnsi="Times New Roman" w:cs="Times New Roman"/>
          <w:sz w:val="24"/>
          <w:szCs w:val="24"/>
          <w:lang w:val="sr-Cyrl-CS"/>
        </w:rPr>
        <w:t>е</w:t>
      </w:r>
      <w:r w:rsidR="00B96C15" w:rsidRPr="004831AB">
        <w:rPr>
          <w:rFonts w:ascii="Times New Roman" w:eastAsia="Calibri" w:hAnsi="Times New Roman" w:cs="Times New Roman"/>
          <w:sz w:val="24"/>
          <w:szCs w:val="24"/>
          <w:lang w:val="sr-Cyrl-CS"/>
        </w:rPr>
        <w:t xml:space="preserve"> се на следеће </w:t>
      </w:r>
      <w:r w:rsidR="00E07095" w:rsidRPr="004831AB">
        <w:rPr>
          <w:rFonts w:ascii="Times New Roman" w:eastAsia="Calibri" w:hAnsi="Times New Roman" w:cs="Times New Roman"/>
          <w:sz w:val="24"/>
          <w:szCs w:val="24"/>
          <w:lang w:val="sr-Cyrl-CS"/>
        </w:rPr>
        <w:t>области јавних политика</w:t>
      </w:r>
      <w:r w:rsidR="001C32DE" w:rsidRPr="004831AB">
        <w:rPr>
          <w:rFonts w:ascii="Times New Roman" w:eastAsia="Calibri" w:hAnsi="Times New Roman" w:cs="Times New Roman"/>
          <w:sz w:val="24"/>
          <w:szCs w:val="24"/>
          <w:lang w:val="sr-Cyrl-CS"/>
        </w:rPr>
        <w:t>.</w:t>
      </w:r>
    </w:p>
    <w:p w14:paraId="252D952B" w14:textId="77777777" w:rsidR="00E07095" w:rsidRPr="004831AB" w:rsidRDefault="00E07095" w:rsidP="00E47DB3">
      <w:pPr>
        <w:pStyle w:val="Heading2"/>
        <w:spacing w:before="0" w:after="120"/>
        <w:rPr>
          <w:rFonts w:eastAsia="Calibri"/>
          <w:b w:val="0"/>
          <w:lang w:val="sr-Cyrl-CS"/>
        </w:rPr>
      </w:pPr>
      <w:r w:rsidRPr="004831AB">
        <w:rPr>
          <w:rFonts w:eastAsia="Calibri"/>
          <w:b w:val="0"/>
          <w:lang w:val="sr-Cyrl-CS"/>
        </w:rPr>
        <w:t>А) Привреда и конкурентност</w:t>
      </w:r>
    </w:p>
    <w:p w14:paraId="273964A7" w14:textId="53A3E82D" w:rsidR="0032743F" w:rsidRPr="004831AB" w:rsidRDefault="00E07095" w:rsidP="007C3874">
      <w:pPr>
        <w:spacing w:after="0" w:line="240" w:lineRule="auto"/>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индустријске политике Републике Србије од 2021. до 2030. године</w:t>
      </w:r>
      <w:r w:rsidR="00783DB2" w:rsidRPr="004831AB">
        <w:rPr>
          <w:rFonts w:ascii="Times New Roman" w:eastAsia="Calibri" w:hAnsi="Times New Roman" w:cs="Times New Roman"/>
          <w:sz w:val="24"/>
          <w:szCs w:val="24"/>
          <w:lang w:val="sr-Cyrl-CS"/>
        </w:rPr>
        <w:t xml:space="preserve"> („Службени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783DB2" w:rsidRPr="004831AB">
        <w:rPr>
          <w:rFonts w:ascii="Times New Roman" w:eastAsia="Calibri" w:hAnsi="Times New Roman" w:cs="Times New Roman"/>
          <w:sz w:val="24"/>
          <w:szCs w:val="24"/>
          <w:lang w:val="sr-Cyrl-CS"/>
        </w:rPr>
        <w:t xml:space="preserve"> 35/</w:t>
      </w:r>
      <w:r w:rsidRPr="004831AB">
        <w:rPr>
          <w:rFonts w:ascii="Times New Roman" w:eastAsia="Calibri" w:hAnsi="Times New Roman" w:cs="Times New Roman"/>
          <w:sz w:val="24"/>
          <w:szCs w:val="24"/>
          <w:lang w:val="sr-Cyrl-CS"/>
        </w:rPr>
        <w:t>20</w:t>
      </w:r>
      <w:r w:rsidRPr="004831AB">
        <w:rPr>
          <w:rFonts w:ascii="Times New Roman" w:eastAsia="Calibri" w:hAnsi="Times New Roman" w:cs="Times New Roman"/>
          <w:i/>
          <w:iCs/>
          <w:sz w:val="24"/>
          <w:szCs w:val="24"/>
          <w:lang w:val="sr-Cyrl-CS"/>
        </w:rPr>
        <w:t xml:space="preserve">) </w:t>
      </w:r>
      <w:r w:rsidRPr="004831AB">
        <w:rPr>
          <w:rFonts w:ascii="Times New Roman" w:eastAsia="Calibri" w:hAnsi="Times New Roman" w:cs="Times New Roman"/>
          <w:sz w:val="24"/>
          <w:szCs w:val="24"/>
          <w:lang w:val="sr-Cyrl-CS"/>
        </w:rPr>
        <w:t xml:space="preserve">је плански документ јавне политике </w:t>
      </w:r>
      <w:r w:rsidR="007E4D4C" w:rsidRPr="004831AB">
        <w:rPr>
          <w:rFonts w:ascii="Times New Roman" w:eastAsia="Calibri" w:hAnsi="Times New Roman" w:cs="Times New Roman"/>
          <w:sz w:val="24"/>
          <w:szCs w:val="24"/>
          <w:lang w:val="sr-Cyrl-CS"/>
        </w:rPr>
        <w:t>чији је циљ подизање конкурентности индустрије Републике Србије и хоризонталног је карактера, односно не утврђује секторс</w:t>
      </w:r>
      <w:r w:rsidR="00D96F63" w:rsidRPr="004831AB">
        <w:rPr>
          <w:rFonts w:ascii="Times New Roman" w:eastAsia="Calibri" w:hAnsi="Times New Roman" w:cs="Times New Roman"/>
          <w:sz w:val="24"/>
          <w:szCs w:val="24"/>
          <w:lang w:val="sr-Cyrl-CS"/>
        </w:rPr>
        <w:t>к</w:t>
      </w:r>
      <w:r w:rsidR="007E4D4C" w:rsidRPr="004831AB">
        <w:rPr>
          <w:rFonts w:ascii="Times New Roman" w:eastAsia="Calibri" w:hAnsi="Times New Roman" w:cs="Times New Roman"/>
          <w:sz w:val="24"/>
          <w:szCs w:val="24"/>
          <w:lang w:val="sr-Cyrl-CS"/>
        </w:rPr>
        <w:t xml:space="preserve">е приоритете већ се бави питањима важним за реиндустријализацију и </w:t>
      </w:r>
      <w:r w:rsidR="007E4D4C" w:rsidRPr="004831AB">
        <w:rPr>
          <w:rFonts w:ascii="Times New Roman" w:eastAsia="Calibri" w:hAnsi="Times New Roman" w:cs="Times New Roman"/>
          <w:sz w:val="24"/>
          <w:szCs w:val="24"/>
          <w:lang w:val="sr-Cyrl-CS"/>
        </w:rPr>
        <w:lastRenderedPageBreak/>
        <w:t xml:space="preserve">квалитативну трансформацију српске привреде, укључујући и МСПП. </w:t>
      </w:r>
      <w:r w:rsidR="0032743F" w:rsidRPr="004831AB">
        <w:rPr>
          <w:rFonts w:ascii="Times New Roman" w:eastAsia="Calibri" w:hAnsi="Times New Roman" w:cs="Times New Roman"/>
          <w:sz w:val="24"/>
          <w:szCs w:val="24"/>
          <w:lang w:val="sr-Cyrl-CS"/>
        </w:rPr>
        <w:t xml:space="preserve">Визија стратегије је отворена, регионално и глобално конкурентна, инвестиционо активна, образована, иновативна и дигитално трансформисана индустрија Републике Србије која снажно подржава привредни раст и подизање квалитета живота њених грађана. </w:t>
      </w:r>
    </w:p>
    <w:p w14:paraId="5FD73328" w14:textId="243CB46B" w:rsidR="0032743F" w:rsidRPr="004831AB" w:rsidRDefault="007F20A7" w:rsidP="00783DB2">
      <w:pPr>
        <w:spacing w:after="0" w:line="240" w:lineRule="auto"/>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Утврђени су следећи посебни циљеви стратегије: унапређена дигитализација пословних модела индустријске производње, развој индустрије базиране на иновацијама и развоју виших фаза технолошке производње, повећан укупни обим инвестиција у индустрију уз раст квалитета инвестиција, унапредити технолошку структуру извоза и  трансформација индустрије од линеарног ка циркуларном моделу.</w:t>
      </w:r>
    </w:p>
    <w:p w14:paraId="7724F9E2" w14:textId="36EF7BB7" w:rsidR="0032743F" w:rsidRPr="004831AB" w:rsidRDefault="00E07095" w:rsidP="007C3874">
      <w:pPr>
        <w:pStyle w:val="NormalWeb"/>
        <w:shd w:val="clear" w:color="auto" w:fill="FFFFFF"/>
        <w:spacing w:after="0"/>
        <w:ind w:firstLine="720"/>
        <w:jc w:val="both"/>
        <w:textAlignment w:val="baseline"/>
        <w:rPr>
          <w:color w:val="242424"/>
          <w:lang w:val="sr-Cyrl-CS"/>
        </w:rPr>
      </w:pPr>
      <w:r w:rsidRPr="004831AB">
        <w:rPr>
          <w:rFonts w:eastAsia="Calibri"/>
          <w:bCs/>
          <w:lang w:val="sr-Cyrl-CS"/>
        </w:rPr>
        <w:t>Стратегија паметне специјализације у Републици Србији за период од 2020. до 2027. године</w:t>
      </w:r>
      <w:r w:rsidR="00783DB2" w:rsidRPr="004831AB">
        <w:rPr>
          <w:rFonts w:eastAsia="Calibri"/>
          <w:lang w:val="sr-Cyrl-CS"/>
        </w:rPr>
        <w:t xml:space="preserve"> („Службени</w:t>
      </w:r>
      <w:r w:rsidRPr="004831AB">
        <w:rPr>
          <w:rFonts w:eastAsia="Calibri"/>
          <w:lang w:val="sr-Cyrl-CS"/>
        </w:rPr>
        <w:t xml:space="preserve"> гласник РС</w:t>
      </w:r>
      <w:r w:rsidR="007E5D5C" w:rsidRPr="004831AB">
        <w:rPr>
          <w:rFonts w:eastAsia="Calibri"/>
          <w:lang w:val="sr-Cyrl-CS"/>
        </w:rPr>
        <w:t>”</w:t>
      </w:r>
      <w:r w:rsidRPr="004831AB">
        <w:rPr>
          <w:rFonts w:eastAsia="Calibri"/>
          <w:lang w:val="sr-Cyrl-CS"/>
        </w:rPr>
        <w:t>, бр</w:t>
      </w:r>
      <w:r w:rsidR="00541D2B" w:rsidRPr="004831AB">
        <w:rPr>
          <w:rFonts w:eastAsia="Calibri"/>
          <w:lang w:val="sr-Cyrl-CS"/>
        </w:rPr>
        <w:t>ој</w:t>
      </w:r>
      <w:r w:rsidR="00783DB2" w:rsidRPr="004831AB">
        <w:rPr>
          <w:rFonts w:eastAsia="Calibri"/>
          <w:lang w:val="sr-Cyrl-CS"/>
        </w:rPr>
        <w:t xml:space="preserve"> 21/</w:t>
      </w:r>
      <w:r w:rsidRPr="004831AB">
        <w:rPr>
          <w:rFonts w:eastAsia="Calibri"/>
          <w:lang w:val="sr-Cyrl-CS"/>
        </w:rPr>
        <w:t>20</w:t>
      </w:r>
      <w:r w:rsidR="00CF5E3E" w:rsidRPr="004831AB">
        <w:rPr>
          <w:rFonts w:eastAsia="Calibri"/>
          <w:lang w:val="sr-Cyrl-CS"/>
        </w:rPr>
        <w:t>, у даљем тексту:</w:t>
      </w:r>
      <w:r w:rsidR="00CF5E3E" w:rsidRPr="004831AB">
        <w:rPr>
          <w:rFonts w:eastAsia="Calibri"/>
          <w:bCs/>
          <w:lang w:val="sr-Cyrl-CS"/>
        </w:rPr>
        <w:t xml:space="preserve"> Стратегија паметне специјализације</w:t>
      </w:r>
      <w:r w:rsidRPr="004831AB">
        <w:rPr>
          <w:rFonts w:eastAsia="Calibri"/>
          <w:lang w:val="sr-Cyrl-CS"/>
        </w:rPr>
        <w:t>)</w:t>
      </w:r>
      <w:r w:rsidR="007E4D4C" w:rsidRPr="004831AB">
        <w:rPr>
          <w:rFonts w:eastAsia="Calibri"/>
          <w:lang w:val="sr-Cyrl-CS"/>
        </w:rPr>
        <w:t xml:space="preserve"> је јавна политика у области иновација који има за циљ да </w:t>
      </w:r>
      <w:r w:rsidR="00D96F63" w:rsidRPr="004831AB">
        <w:rPr>
          <w:rFonts w:eastAsia="Calibri"/>
          <w:lang w:val="sr-Cyrl-CS"/>
        </w:rPr>
        <w:t xml:space="preserve">подстакне </w:t>
      </w:r>
      <w:r w:rsidR="007E4D4C" w:rsidRPr="004831AB">
        <w:rPr>
          <w:rFonts w:eastAsia="Calibri"/>
          <w:lang w:val="sr-Cyrl-CS"/>
        </w:rPr>
        <w:t xml:space="preserve">раст </w:t>
      </w:r>
      <w:r w:rsidR="00D96F63" w:rsidRPr="004831AB">
        <w:rPr>
          <w:rFonts w:eastAsia="Calibri"/>
          <w:lang w:val="sr-Cyrl-CS"/>
        </w:rPr>
        <w:t xml:space="preserve">на начин да се </w:t>
      </w:r>
      <w:r w:rsidR="007E4D4C" w:rsidRPr="004831AB">
        <w:rPr>
          <w:rFonts w:eastAsia="Calibri"/>
          <w:lang w:val="sr-Cyrl-CS"/>
        </w:rPr>
        <w:t>региони фокусирају на</w:t>
      </w:r>
      <w:r w:rsidR="00D96F63" w:rsidRPr="004831AB">
        <w:rPr>
          <w:rFonts w:eastAsia="Calibri"/>
          <w:lang w:val="sr-Cyrl-CS"/>
        </w:rPr>
        <w:t xml:space="preserve"> оне области у којима имају конкурентске предности, те стога дефинише секторске приорите. </w:t>
      </w:r>
      <w:r w:rsidR="00604943" w:rsidRPr="004831AB">
        <w:rPr>
          <w:rFonts w:eastAsia="Calibri"/>
          <w:lang w:val="sr-Cyrl-CS"/>
        </w:rPr>
        <w:t>Препознати сектори су: Храна за будућност, Информационо-телекомуникационе технологије</w:t>
      </w:r>
      <w:r w:rsidR="00783DB2" w:rsidRPr="004831AB">
        <w:rPr>
          <w:rFonts w:eastAsia="Calibri"/>
          <w:lang w:val="sr-Cyrl-CS"/>
        </w:rPr>
        <w:t xml:space="preserve">, </w:t>
      </w:r>
      <w:r w:rsidR="00604943" w:rsidRPr="004831AB">
        <w:rPr>
          <w:rFonts w:eastAsia="Calibri"/>
          <w:lang w:val="sr-Cyrl-CS"/>
        </w:rPr>
        <w:t>Машине и производни процеси будућности и Креативне индустрије.</w:t>
      </w:r>
      <w:r w:rsidR="00783DB2" w:rsidRPr="004831AB">
        <w:rPr>
          <w:rFonts w:eastAsia="Calibri"/>
          <w:lang w:val="sr-Cyrl-CS"/>
        </w:rPr>
        <w:t xml:space="preserve"> </w:t>
      </w:r>
      <w:r w:rsidR="00693454" w:rsidRPr="004831AB">
        <w:rPr>
          <w:bCs/>
          <w:color w:val="242424"/>
          <w:bdr w:val="none" w:sz="0" w:space="0" w:color="auto" w:frame="1"/>
          <w:lang w:val="sr-Cyrl-CS"/>
        </w:rPr>
        <w:t xml:space="preserve">Стратегија паметне специјализације представља свеобухватну агенду за привредну трансформацију која укључује: </w:t>
      </w:r>
      <w:r w:rsidR="00693454" w:rsidRPr="004831AB">
        <w:rPr>
          <w:color w:val="242424"/>
          <w:lang w:val="sr-Cyrl-CS"/>
        </w:rPr>
        <w:t>усмеравање подршке и инвестиција на кључне националне/регионалне приоритете, изазове и потребе за развојем заснованим на знању, заснованост на снагама, компаративним предностима и потенцијалу за изврсност одређене државе или региона, подршку технолошким и практичним иновацијама са циљем да се охрабре инвестиције приватног сектора, укључивање заинтересованих страна и подстицање иновација и експериментисања и заснованост на доказима и постојање система праћења и евалуације.</w:t>
      </w:r>
    </w:p>
    <w:p w14:paraId="102EBACE" w14:textId="09538EEE" w:rsidR="00E07095" w:rsidRPr="004831AB" w:rsidRDefault="00E07095" w:rsidP="007C3874">
      <w:pPr>
        <w:spacing w:after="120"/>
        <w:ind w:firstLine="720"/>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развоја стартап екосистема Републике Србије за период од 2021. до 2025. године</w:t>
      </w:r>
      <w:r w:rsidRPr="004831AB">
        <w:rPr>
          <w:rFonts w:ascii="Times New Roman" w:eastAsia="Calibri" w:hAnsi="Times New Roman" w:cs="Times New Roman"/>
          <w:sz w:val="24"/>
          <w:szCs w:val="24"/>
          <w:lang w:val="sr-Cyrl-CS"/>
        </w:rPr>
        <w:t xml:space="preserve"> (</w:t>
      </w:r>
      <w:r w:rsidR="00BD75FB"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BD75FB" w:rsidRPr="004831AB">
        <w:rPr>
          <w:rFonts w:ascii="Times New Roman" w:eastAsia="Calibri" w:hAnsi="Times New Roman" w:cs="Times New Roman"/>
          <w:sz w:val="24"/>
          <w:szCs w:val="24"/>
          <w:lang w:val="sr-Cyrl-CS"/>
        </w:rPr>
        <w:t xml:space="preserve"> 125/</w:t>
      </w:r>
      <w:r w:rsidRPr="004831AB">
        <w:rPr>
          <w:rFonts w:ascii="Times New Roman" w:eastAsia="Calibri" w:hAnsi="Times New Roman" w:cs="Times New Roman"/>
          <w:sz w:val="24"/>
          <w:szCs w:val="24"/>
          <w:lang w:val="sr-Cyrl-CS"/>
        </w:rPr>
        <w:t>21) садржи више релевантних мера</w:t>
      </w:r>
      <w:r w:rsidR="00D96F63" w:rsidRPr="004831AB">
        <w:rPr>
          <w:rFonts w:ascii="Times New Roman" w:eastAsia="Calibri" w:hAnsi="Times New Roman" w:cs="Times New Roman"/>
          <w:sz w:val="24"/>
          <w:szCs w:val="24"/>
          <w:lang w:val="sr-Cyrl-CS"/>
        </w:rPr>
        <w:t xml:space="preserve"> за МСПП, поготово у области ИКТ, као што су</w:t>
      </w:r>
      <w:r w:rsidRPr="004831AB">
        <w:rPr>
          <w:rFonts w:ascii="Times New Roman" w:eastAsia="Calibri" w:hAnsi="Times New Roman" w:cs="Times New Roman"/>
          <w:sz w:val="24"/>
          <w:szCs w:val="24"/>
          <w:lang w:val="sr-Cyrl-CS"/>
        </w:rPr>
        <w:t xml:space="preserve"> Подстицање развоја тржишта предузетничког капитала (3.2.), Креирање механизма и основа за групно финансирање (3.3.), Успостављање механизма за препознавање различитих актера стартап екосистема</w:t>
      </w:r>
      <w:r w:rsidRPr="004831AB">
        <w:rPr>
          <w:rFonts w:ascii="Times New Roman" w:eastAsia="Calibri" w:hAnsi="Times New Roman" w:cs="Times New Roman"/>
          <w:i/>
          <w:iCs/>
          <w:sz w:val="24"/>
          <w:szCs w:val="24"/>
          <w:lang w:val="sr-Cyrl-CS"/>
        </w:rPr>
        <w:t xml:space="preserve"> </w:t>
      </w:r>
      <w:r w:rsidRPr="004831AB">
        <w:rPr>
          <w:rFonts w:ascii="Times New Roman" w:eastAsia="Calibri" w:hAnsi="Times New Roman" w:cs="Times New Roman"/>
          <w:sz w:val="24"/>
          <w:szCs w:val="24"/>
          <w:lang w:val="sr-Cyrl-CS"/>
        </w:rPr>
        <w:t>(4.1.) и Унапређење пореског оквира за пословање стартапа (</w:t>
      </w:r>
      <w:r w:rsidR="00BD75FB" w:rsidRPr="004831AB">
        <w:rPr>
          <w:rFonts w:ascii="Times New Roman" w:eastAsia="Calibri" w:hAnsi="Times New Roman" w:cs="Times New Roman"/>
          <w:sz w:val="24"/>
          <w:szCs w:val="24"/>
          <w:lang w:val="sr-Cyrl-CS"/>
        </w:rPr>
        <w:t>4.2). Нарочито су значајне мере</w:t>
      </w:r>
      <w:r w:rsidRPr="004831AB">
        <w:rPr>
          <w:rFonts w:ascii="Times New Roman" w:eastAsia="Calibri" w:hAnsi="Times New Roman" w:cs="Times New Roman"/>
          <w:sz w:val="24"/>
          <w:szCs w:val="24"/>
          <w:lang w:val="sr-Cyrl-CS"/>
        </w:rPr>
        <w:t xml:space="preserve"> Популаризација стартап културе и развој предузетничког духа (5.1.) и Унапређење међународне препознатљивости српског стартап екосистема (5.2.)</w:t>
      </w:r>
      <w:r w:rsidR="00693454"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w:t>
      </w:r>
    </w:p>
    <w:p w14:paraId="6BC134B8" w14:textId="1FE374D3"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Програм економских реформи (ЕРП) за период 2022-2024</w:t>
      </w:r>
      <w:r w:rsidR="009871D9" w:rsidRPr="004831AB">
        <w:rPr>
          <w:rFonts w:ascii="Times New Roman" w:eastAsia="Calibri" w:hAnsi="Times New Roman" w:cs="Times New Roman"/>
          <w:bCs/>
          <w:sz w:val="24"/>
          <w:szCs w:val="24"/>
          <w:lang w:val="sr-Cyrl-CS"/>
        </w:rPr>
        <w:t>. године</w:t>
      </w:r>
      <w:r w:rsidRPr="004831AB">
        <w:rPr>
          <w:rFonts w:ascii="Times New Roman" w:eastAsia="Calibri" w:hAnsi="Times New Roman" w:cs="Times New Roman"/>
          <w:sz w:val="24"/>
          <w:szCs w:val="24"/>
          <w:lang w:val="sr-Cyrl-CS"/>
        </w:rPr>
        <w:t>, поред осталог, садржи структурну реформу бр</w:t>
      </w:r>
      <w:r w:rsidR="00541D2B" w:rsidRPr="004831AB">
        <w:rPr>
          <w:rFonts w:ascii="Times New Roman" w:eastAsia="Calibri" w:hAnsi="Times New Roman" w:cs="Times New Roman"/>
          <w:sz w:val="24"/>
          <w:szCs w:val="24"/>
          <w:lang w:val="sr-Cyrl-CS"/>
        </w:rPr>
        <w:t>ој</w:t>
      </w:r>
      <w:r w:rsidRPr="004831AB">
        <w:rPr>
          <w:rFonts w:ascii="Times New Roman" w:eastAsia="Calibri" w:hAnsi="Times New Roman" w:cs="Times New Roman"/>
          <w:sz w:val="24"/>
          <w:szCs w:val="24"/>
          <w:lang w:val="sr-Cyrl-CS"/>
        </w:rPr>
        <w:t xml:space="preserve"> 14</w:t>
      </w:r>
      <w:r w:rsidRPr="004831AB">
        <w:rPr>
          <w:rFonts w:ascii="Times New Roman" w:eastAsia="Calibri" w:hAnsi="Times New Roman" w:cs="Times New Roman"/>
          <w:bCs/>
          <w:sz w:val="24"/>
          <w:szCs w:val="24"/>
          <w:lang w:val="sr-Cyrl-CS"/>
        </w:rPr>
        <w:t xml:space="preserve"> </w:t>
      </w:r>
      <w:r w:rsidRPr="004831AB">
        <w:rPr>
          <w:rFonts w:ascii="Times New Roman" w:eastAsia="Calibri" w:hAnsi="Times New Roman" w:cs="Times New Roman"/>
          <w:sz w:val="24"/>
          <w:szCs w:val="24"/>
          <w:lang w:val="sr-Cyrl-CS"/>
        </w:rPr>
        <w:t>Развој стартап екосистема, чије се активности заснивају на наведеној Стратегији развоја стартап екосистема Републике Србије. У погледу других релевантних структурних реформи, треба имати у виду СР4 Унапређење квалитета пружања јавних услуга кроз оптимизацију и дигитализацију административних поступака – е-Папир, која је преузела наставак активности из претходног Програма за поједностављивање административних поступака и регулативе „е-Папир</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за период 2019-2021.</w:t>
      </w:r>
      <w:r w:rsidR="00693454" w:rsidRPr="004831AB">
        <w:rPr>
          <w:rFonts w:ascii="Times New Roman" w:eastAsia="Calibri" w:hAnsi="Times New Roman" w:cs="Times New Roman"/>
          <w:sz w:val="24"/>
          <w:szCs w:val="24"/>
          <w:lang w:val="sr-Cyrl-CS"/>
        </w:rPr>
        <w:t xml:space="preserve"> године.</w:t>
      </w:r>
      <w:r w:rsidRPr="004831AB">
        <w:rPr>
          <w:rFonts w:ascii="Times New Roman" w:eastAsia="Calibri" w:hAnsi="Times New Roman" w:cs="Times New Roman"/>
          <w:sz w:val="24"/>
          <w:szCs w:val="24"/>
          <w:lang w:val="sr-Cyrl-CS"/>
        </w:rPr>
        <w:t xml:space="preserve"> </w:t>
      </w:r>
    </w:p>
    <w:p w14:paraId="6E106669" w14:textId="77777777" w:rsidR="00E07095" w:rsidRPr="004831AB" w:rsidRDefault="00E07095" w:rsidP="00E47DB3">
      <w:pPr>
        <w:pStyle w:val="Heading2"/>
        <w:spacing w:before="0" w:after="120"/>
        <w:rPr>
          <w:rFonts w:eastAsia="Calibri"/>
          <w:b w:val="0"/>
          <w:lang w:val="sr-Cyrl-CS"/>
        </w:rPr>
      </w:pPr>
      <w:r w:rsidRPr="004831AB">
        <w:rPr>
          <w:rFonts w:eastAsia="Calibri"/>
          <w:b w:val="0"/>
          <w:lang w:val="sr-Cyrl-CS"/>
        </w:rPr>
        <w:t>Б) Просвета, наука и технолошки развој</w:t>
      </w:r>
    </w:p>
    <w:p w14:paraId="0635B5D2" w14:textId="2A6B21C1"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научног и технолошког развоја Републике Србије за период од 2021. до 2025. године</w:t>
      </w:r>
      <w:r w:rsidR="00BD75FB" w:rsidRPr="004831AB">
        <w:rPr>
          <w:rFonts w:ascii="Times New Roman" w:eastAsia="Calibri" w:hAnsi="Times New Roman" w:cs="Times New Roman"/>
          <w:bCs/>
          <w:sz w:val="24"/>
          <w:szCs w:val="24"/>
          <w:lang w:val="sr-Cyrl-CS"/>
        </w:rPr>
        <w:t xml:space="preserve"> „Моћ знања”</w:t>
      </w:r>
      <w:r w:rsidRPr="004831AB">
        <w:rPr>
          <w:rFonts w:ascii="Times New Roman" w:eastAsia="Calibri" w:hAnsi="Times New Roman" w:cs="Times New Roman"/>
          <w:bCs/>
          <w:sz w:val="24"/>
          <w:szCs w:val="24"/>
          <w:lang w:val="sr-Cyrl-CS"/>
        </w:rPr>
        <w:t xml:space="preserve">, </w:t>
      </w:r>
      <w:r w:rsidRPr="004831AB">
        <w:rPr>
          <w:rFonts w:ascii="Times New Roman" w:eastAsia="Calibri" w:hAnsi="Times New Roman" w:cs="Times New Roman"/>
          <w:sz w:val="24"/>
          <w:szCs w:val="24"/>
          <w:lang w:val="sr-Cyrl-CS"/>
        </w:rPr>
        <w:t>(</w:t>
      </w:r>
      <w:r w:rsidR="00BD75FB" w:rsidRPr="004831AB">
        <w:rPr>
          <w:rFonts w:ascii="Times New Roman" w:eastAsia="Calibri" w:hAnsi="Times New Roman" w:cs="Times New Roman"/>
          <w:sz w:val="24"/>
          <w:szCs w:val="24"/>
          <w:lang w:val="sr-Cyrl-CS"/>
        </w:rPr>
        <w:t>„Сужбени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BD75FB" w:rsidRPr="004831AB">
        <w:rPr>
          <w:rFonts w:ascii="Times New Roman" w:eastAsia="Calibri" w:hAnsi="Times New Roman" w:cs="Times New Roman"/>
          <w:sz w:val="24"/>
          <w:szCs w:val="24"/>
          <w:lang w:val="sr-Cyrl-CS"/>
        </w:rPr>
        <w:t xml:space="preserve"> 10/</w:t>
      </w:r>
      <w:r w:rsidRPr="004831AB">
        <w:rPr>
          <w:rFonts w:ascii="Times New Roman" w:eastAsia="Calibri" w:hAnsi="Times New Roman" w:cs="Times New Roman"/>
          <w:sz w:val="24"/>
          <w:szCs w:val="24"/>
          <w:lang w:val="sr-Cyrl-CS"/>
        </w:rPr>
        <w:t>21)</w:t>
      </w:r>
      <w:r w:rsidR="00F95F4C" w:rsidRPr="004831AB">
        <w:rPr>
          <w:rFonts w:ascii="Times New Roman" w:eastAsia="Calibri" w:hAnsi="Times New Roman" w:cs="Times New Roman"/>
          <w:sz w:val="24"/>
          <w:szCs w:val="24"/>
          <w:lang w:val="sr-Cyrl-CS"/>
        </w:rPr>
        <w:t xml:space="preserve"> </w:t>
      </w:r>
      <w:r w:rsidRPr="004831AB">
        <w:rPr>
          <w:rFonts w:ascii="Times New Roman" w:eastAsia="Calibri" w:hAnsi="Times New Roman" w:cs="Times New Roman"/>
          <w:sz w:val="24"/>
          <w:szCs w:val="24"/>
          <w:lang w:val="sr-Cyrl-CS"/>
        </w:rPr>
        <w:t xml:space="preserve">- садржи меру која обухвата </w:t>
      </w:r>
      <w:r w:rsidRPr="004831AB">
        <w:rPr>
          <w:rFonts w:ascii="Times New Roman" w:eastAsia="Calibri" w:hAnsi="Times New Roman" w:cs="Times New Roman"/>
          <w:sz w:val="24"/>
          <w:szCs w:val="24"/>
          <w:lang w:val="sr-Cyrl-CS"/>
        </w:rPr>
        <w:lastRenderedPageBreak/>
        <w:t xml:space="preserve">подизање капацитета унутар сектора </w:t>
      </w:r>
      <w:r w:rsidR="00CA26F3" w:rsidRPr="004831AB">
        <w:rPr>
          <w:rFonts w:ascii="Times New Roman" w:eastAsia="Calibri" w:hAnsi="Times New Roman" w:cs="Times New Roman"/>
          <w:sz w:val="24"/>
          <w:szCs w:val="24"/>
          <w:lang w:val="sr-Cyrl-CS"/>
        </w:rPr>
        <w:t>МСПП</w:t>
      </w:r>
      <w:r w:rsidRPr="004831AB">
        <w:rPr>
          <w:rFonts w:ascii="Times New Roman" w:eastAsia="Calibri" w:hAnsi="Times New Roman" w:cs="Times New Roman"/>
          <w:sz w:val="24"/>
          <w:szCs w:val="24"/>
          <w:lang w:val="sr-Cyrl-CS"/>
        </w:rPr>
        <w:t xml:space="preserve">, јачање веза између </w:t>
      </w:r>
      <w:r w:rsidR="007D5D0C" w:rsidRPr="004831AB">
        <w:rPr>
          <w:rFonts w:ascii="Times New Roman" w:eastAsia="Calibri" w:hAnsi="Times New Roman" w:cs="Times New Roman"/>
          <w:sz w:val="24"/>
          <w:szCs w:val="24"/>
          <w:lang w:val="sr-Cyrl-CS"/>
        </w:rPr>
        <w:t>научно-истраживачких организација (</w:t>
      </w:r>
      <w:r w:rsidRPr="004831AB">
        <w:rPr>
          <w:rFonts w:ascii="Times New Roman" w:eastAsia="Calibri" w:hAnsi="Times New Roman" w:cs="Times New Roman"/>
          <w:sz w:val="24"/>
          <w:szCs w:val="24"/>
          <w:lang w:val="sr-Cyrl-CS"/>
        </w:rPr>
        <w:t>НИО</w:t>
      </w:r>
      <w:r w:rsidR="007D5D0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и јавних предузећа и система, као и привреде у целини.</w:t>
      </w:r>
    </w:p>
    <w:p w14:paraId="558CED83" w14:textId="53724660"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развоја образовања и васпитања у Републици Србији до 2030. године</w:t>
      </w:r>
      <w:r w:rsidRPr="004831AB">
        <w:rPr>
          <w:rFonts w:ascii="Times New Roman" w:eastAsia="Calibri" w:hAnsi="Times New Roman" w:cs="Times New Roman"/>
          <w:sz w:val="24"/>
          <w:szCs w:val="24"/>
          <w:lang w:val="sr-Cyrl-CS"/>
        </w:rPr>
        <w:t xml:space="preserve"> (</w:t>
      </w:r>
      <w:r w:rsidR="00645D6A"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645D6A" w:rsidRPr="004831AB">
        <w:rPr>
          <w:rFonts w:ascii="Times New Roman" w:eastAsia="Calibri" w:hAnsi="Times New Roman" w:cs="Times New Roman"/>
          <w:sz w:val="24"/>
          <w:szCs w:val="24"/>
          <w:lang w:val="sr-Cyrl-CS"/>
        </w:rPr>
        <w:t xml:space="preserve"> 63/</w:t>
      </w:r>
      <w:r w:rsidRPr="004831AB">
        <w:rPr>
          <w:rFonts w:ascii="Times New Roman" w:eastAsia="Calibri" w:hAnsi="Times New Roman" w:cs="Times New Roman"/>
          <w:sz w:val="24"/>
          <w:szCs w:val="24"/>
          <w:lang w:val="sr-Cyrl-CS"/>
        </w:rPr>
        <w:t xml:space="preserve">21) садржи активности наставка подршке развоју и остваривању студијских програма по дуалном моделу, као и обезбеђивање услова за реализацију практичне наставе. Предности овог модела и начин реализације наставе, као и водич кроз дуално образовање детаљније су представљени у публикацији </w:t>
      </w:r>
      <w:r w:rsidRPr="004831AB">
        <w:rPr>
          <w:rFonts w:ascii="Times New Roman" w:eastAsia="Calibri" w:hAnsi="Times New Roman" w:cs="Times New Roman"/>
          <w:bCs/>
          <w:sz w:val="24"/>
          <w:szCs w:val="24"/>
          <w:lang w:val="sr-Cyrl-CS"/>
        </w:rPr>
        <w:t>„Национални модел дуалног образовања – пут у будућност Србије</w:t>
      </w:r>
      <w:r w:rsidR="007E5D5C" w:rsidRPr="004831AB">
        <w:rPr>
          <w:rFonts w:ascii="Times New Roman" w:eastAsia="Calibri" w:hAnsi="Times New Roman" w:cs="Times New Roman"/>
          <w:bCs/>
          <w:sz w:val="24"/>
          <w:szCs w:val="24"/>
          <w:lang w:val="sr-Cyrl-CS"/>
        </w:rPr>
        <w:t>”</w:t>
      </w:r>
      <w:r w:rsidRPr="004831AB">
        <w:rPr>
          <w:rFonts w:ascii="Times New Roman" w:eastAsia="Calibri" w:hAnsi="Times New Roman" w:cs="Times New Roman"/>
          <w:sz w:val="24"/>
          <w:szCs w:val="24"/>
          <w:lang w:val="sr-Cyrl-CS"/>
        </w:rPr>
        <w:t xml:space="preserve">, коју је објавило Министарство просвете, науке и технолошког развоја 2020. године. </w:t>
      </w:r>
    </w:p>
    <w:p w14:paraId="1A80AB96" w14:textId="77777777" w:rsidR="00E07095" w:rsidRPr="004831AB" w:rsidRDefault="00E07095" w:rsidP="00E47DB3">
      <w:pPr>
        <w:pStyle w:val="Heading2"/>
        <w:spacing w:before="0" w:after="120"/>
        <w:rPr>
          <w:rFonts w:eastAsia="Calibri"/>
          <w:b w:val="0"/>
          <w:lang w:val="sr-Cyrl-CS"/>
        </w:rPr>
      </w:pPr>
      <w:r w:rsidRPr="004831AB">
        <w:rPr>
          <w:rFonts w:eastAsia="Calibri"/>
          <w:b w:val="0"/>
          <w:lang w:val="sr-Cyrl-CS"/>
        </w:rPr>
        <w:t>В) Информационо друштво</w:t>
      </w:r>
    </w:p>
    <w:p w14:paraId="554349AC" w14:textId="13F28102"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w:t>
      </w:r>
      <w:r w:rsidR="007D5D0C" w:rsidRPr="004831AB">
        <w:rPr>
          <w:rFonts w:ascii="Times New Roman" w:eastAsia="Calibri" w:hAnsi="Times New Roman" w:cs="Times New Roman"/>
          <w:bCs/>
          <w:sz w:val="24"/>
          <w:szCs w:val="24"/>
          <w:lang w:val="sr-Cyrl-CS"/>
        </w:rPr>
        <w:t>а</w:t>
      </w:r>
      <w:r w:rsidRPr="004831AB">
        <w:rPr>
          <w:rFonts w:ascii="Times New Roman" w:eastAsia="Calibri" w:hAnsi="Times New Roman" w:cs="Times New Roman"/>
          <w:bCs/>
          <w:sz w:val="24"/>
          <w:szCs w:val="24"/>
          <w:lang w:val="sr-Cyrl-CS"/>
        </w:rPr>
        <w:t xml:space="preserve"> развој</w:t>
      </w:r>
      <w:r w:rsidR="00793BE7" w:rsidRPr="004831AB">
        <w:rPr>
          <w:rFonts w:ascii="Times New Roman" w:eastAsia="Calibri" w:hAnsi="Times New Roman" w:cs="Times New Roman"/>
          <w:bCs/>
          <w:sz w:val="24"/>
          <w:szCs w:val="24"/>
          <w:lang w:val="sr-Cyrl-CS"/>
        </w:rPr>
        <w:t>а</w:t>
      </w:r>
      <w:r w:rsidRPr="004831AB">
        <w:rPr>
          <w:rFonts w:ascii="Times New Roman" w:eastAsia="Calibri" w:hAnsi="Times New Roman" w:cs="Times New Roman"/>
          <w:bCs/>
          <w:sz w:val="24"/>
          <w:szCs w:val="24"/>
          <w:lang w:val="sr-Cyrl-CS"/>
        </w:rPr>
        <w:t xml:space="preserve"> вештачке интелигенције у Републици Србији за период 2020–2025. године</w:t>
      </w:r>
      <w:r w:rsidRPr="004831AB">
        <w:rPr>
          <w:rFonts w:ascii="Times New Roman" w:eastAsia="Calibri" w:hAnsi="Times New Roman" w:cs="Times New Roman"/>
          <w:sz w:val="24"/>
          <w:szCs w:val="24"/>
          <w:lang w:val="sr-Cyrl-CS"/>
        </w:rPr>
        <w:t xml:space="preserve"> (</w:t>
      </w:r>
      <w:r w:rsidR="00793BE7"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793BE7" w:rsidRPr="004831AB">
        <w:rPr>
          <w:rFonts w:ascii="Times New Roman" w:eastAsia="Calibri" w:hAnsi="Times New Roman" w:cs="Times New Roman"/>
          <w:sz w:val="24"/>
          <w:szCs w:val="24"/>
          <w:lang w:val="sr-Cyrl-CS"/>
        </w:rPr>
        <w:t xml:space="preserve"> 96/</w:t>
      </w:r>
      <w:r w:rsidRPr="004831AB">
        <w:rPr>
          <w:rFonts w:ascii="Times New Roman" w:eastAsia="Calibri" w:hAnsi="Times New Roman" w:cs="Times New Roman"/>
          <w:sz w:val="24"/>
          <w:szCs w:val="24"/>
          <w:lang w:val="sr-Cyrl-CS"/>
        </w:rPr>
        <w:t xml:space="preserve">19) предвиђа Меру </w:t>
      </w:r>
      <w:r w:rsidR="00F95F4C" w:rsidRPr="004831AB">
        <w:rPr>
          <w:rFonts w:ascii="Times New Roman" w:eastAsia="Calibri" w:hAnsi="Times New Roman" w:cs="Times New Roman"/>
          <w:sz w:val="24"/>
          <w:szCs w:val="24"/>
          <w:lang w:val="sr-Cyrl-CS"/>
        </w:rPr>
        <w:t xml:space="preserve">- </w:t>
      </w:r>
      <w:r w:rsidRPr="004831AB">
        <w:rPr>
          <w:rFonts w:ascii="Times New Roman" w:eastAsia="Calibri" w:hAnsi="Times New Roman" w:cs="Times New Roman"/>
          <w:sz w:val="24"/>
          <w:szCs w:val="24"/>
          <w:lang w:val="sr-Cyrl-CS"/>
        </w:rPr>
        <w:t>Подршка стартап компанијама и МСП</w:t>
      </w:r>
      <w:r w:rsidR="00D633BD" w:rsidRPr="004831AB">
        <w:rPr>
          <w:rFonts w:ascii="Times New Roman" w:eastAsia="Calibri" w:hAnsi="Times New Roman" w:cs="Times New Roman"/>
          <w:sz w:val="24"/>
          <w:szCs w:val="24"/>
          <w:lang w:val="sr-Cyrl-CS"/>
        </w:rPr>
        <w:t>П</w:t>
      </w:r>
      <w:r w:rsidRPr="004831AB">
        <w:rPr>
          <w:rFonts w:ascii="Times New Roman" w:eastAsia="Calibri" w:hAnsi="Times New Roman" w:cs="Times New Roman"/>
          <w:sz w:val="24"/>
          <w:szCs w:val="24"/>
          <w:lang w:val="sr-Cyrl-CS"/>
        </w:rPr>
        <w:t xml:space="preserve"> у области вештачке интелигенције (Мера 3.1.)</w:t>
      </w:r>
      <w:r w:rsidR="00B13766" w:rsidRPr="004831AB">
        <w:rPr>
          <w:rFonts w:ascii="Times New Roman" w:eastAsia="Calibri" w:hAnsi="Times New Roman" w:cs="Times New Roman"/>
          <w:sz w:val="24"/>
          <w:szCs w:val="24"/>
          <w:lang w:val="sr-Cyrl-CS"/>
        </w:rPr>
        <w:t>.</w:t>
      </w:r>
    </w:p>
    <w:p w14:paraId="116E1D76" w14:textId="0D89715A"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развоја дигиталних вештина у Републици Србији за период од 2020. до 2024. године</w:t>
      </w:r>
      <w:r w:rsidR="00793BE7" w:rsidRPr="004831AB">
        <w:rPr>
          <w:rFonts w:ascii="Times New Roman" w:eastAsia="Calibri" w:hAnsi="Times New Roman" w:cs="Times New Roman"/>
          <w:sz w:val="24"/>
          <w:szCs w:val="24"/>
          <w:lang w:val="sr-Cyrl-CS"/>
        </w:rPr>
        <w:t xml:space="preserve"> („Службени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F606A3" w:rsidRPr="004831AB">
        <w:rPr>
          <w:rFonts w:ascii="Times New Roman" w:eastAsia="Calibri" w:hAnsi="Times New Roman" w:cs="Times New Roman"/>
          <w:sz w:val="24"/>
          <w:szCs w:val="24"/>
          <w:lang w:val="sr-Cyrl-CS"/>
        </w:rPr>
        <w:t>.</w:t>
      </w:r>
      <w:r w:rsidR="00793BE7" w:rsidRPr="004831AB">
        <w:rPr>
          <w:rFonts w:ascii="Times New Roman" w:eastAsia="Calibri" w:hAnsi="Times New Roman" w:cs="Times New Roman"/>
          <w:sz w:val="24"/>
          <w:szCs w:val="24"/>
          <w:lang w:val="sr-Cyrl-CS"/>
        </w:rPr>
        <w:t xml:space="preserve"> 21/</w:t>
      </w:r>
      <w:r w:rsidRPr="004831AB">
        <w:rPr>
          <w:rFonts w:ascii="Times New Roman" w:eastAsia="Calibri" w:hAnsi="Times New Roman" w:cs="Times New Roman"/>
          <w:sz w:val="24"/>
          <w:szCs w:val="24"/>
          <w:lang w:val="sr-Cyrl-CS"/>
        </w:rPr>
        <w:t>20</w:t>
      </w:r>
      <w:r w:rsidR="00F606A3" w:rsidRPr="004831AB">
        <w:rPr>
          <w:rFonts w:ascii="Times New Roman" w:eastAsia="Calibri" w:hAnsi="Times New Roman" w:cs="Times New Roman"/>
          <w:sz w:val="24"/>
          <w:szCs w:val="24"/>
          <w:lang w:val="sr-Cyrl-CS"/>
        </w:rPr>
        <w:t xml:space="preserve"> и 8/23</w:t>
      </w:r>
      <w:r w:rsidRPr="004831AB">
        <w:rPr>
          <w:rFonts w:ascii="Times New Roman" w:eastAsia="Calibri" w:hAnsi="Times New Roman" w:cs="Times New Roman"/>
          <w:sz w:val="24"/>
          <w:szCs w:val="24"/>
          <w:lang w:val="sr-Cyrl-CS"/>
        </w:rPr>
        <w:t xml:space="preserve">) </w:t>
      </w:r>
      <w:r w:rsidR="003418FA" w:rsidRPr="004831AB">
        <w:rPr>
          <w:rFonts w:ascii="Times New Roman" w:eastAsia="Calibri" w:hAnsi="Times New Roman" w:cs="Times New Roman"/>
          <w:sz w:val="24"/>
          <w:szCs w:val="24"/>
          <w:lang w:val="sr-Cyrl-CS"/>
        </w:rPr>
        <w:t>не садржи мере и активности непосредно специфичне за МСПП, али се у документу</w:t>
      </w:r>
      <w:r w:rsidR="00B13766" w:rsidRPr="004831AB">
        <w:rPr>
          <w:rFonts w:ascii="Times New Roman" w:eastAsia="Calibri" w:hAnsi="Times New Roman" w:cs="Times New Roman"/>
          <w:sz w:val="24"/>
          <w:szCs w:val="24"/>
          <w:lang w:val="sr-Cyrl-CS"/>
        </w:rPr>
        <w:t xml:space="preserve"> </w:t>
      </w:r>
      <w:r w:rsidRPr="004831AB">
        <w:rPr>
          <w:rFonts w:ascii="Times New Roman" w:eastAsia="Calibri" w:hAnsi="Times New Roman" w:cs="Times New Roman"/>
          <w:sz w:val="24"/>
          <w:szCs w:val="24"/>
          <w:lang w:val="sr-Cyrl-CS"/>
        </w:rPr>
        <w:t>констатује да мала и средња предузећа (МСП) чине тек нешто више од петине укупног броја ИТ фирми</w:t>
      </w:r>
      <w:r w:rsidR="003418FA"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w:t>
      </w:r>
    </w:p>
    <w:p w14:paraId="486CE067" w14:textId="7458F51E"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Стратегија развоја информационог друштва и информационе безбедности у Републици Србији за период од 2021. до 2026. године </w:t>
      </w:r>
      <w:r w:rsidRPr="004831AB">
        <w:rPr>
          <w:rFonts w:ascii="Times New Roman" w:eastAsia="Calibri" w:hAnsi="Times New Roman" w:cs="Times New Roman"/>
          <w:sz w:val="24"/>
          <w:szCs w:val="24"/>
          <w:lang w:val="sr-Cyrl-CS"/>
        </w:rPr>
        <w:t>(</w:t>
      </w:r>
      <w:r w:rsidR="00793BE7"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Pr="004831AB">
        <w:rPr>
          <w:rFonts w:ascii="Times New Roman" w:eastAsia="Calibri" w:hAnsi="Times New Roman" w:cs="Times New Roman"/>
          <w:sz w:val="24"/>
          <w:szCs w:val="24"/>
          <w:lang w:val="sr-Cyrl-CS"/>
        </w:rPr>
        <w:t xml:space="preserve"> 86</w:t>
      </w:r>
      <w:r w:rsidR="00793BE7"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21) представља међусекторску стратегију којом се утврђују циљеви и мере за развој информационог друштва и информационе безбедности. Стратегија садржи посебну меру – Дигитална трансформација МСПП (Мера 2.3), којом је предвиђено оснивање и рад Центра за дигиталну трансформацију (ЦДТ) у саставу Привредне коморе Србије – национални хаб иновативних пракси усмерен, пре свега, ка микро, малим и средњим предузећима. </w:t>
      </w:r>
    </w:p>
    <w:p w14:paraId="13E9B386" w14:textId="77777777" w:rsidR="00E07095" w:rsidRPr="004831AB" w:rsidRDefault="00E07095" w:rsidP="00E47DB3">
      <w:pPr>
        <w:pStyle w:val="Heading2"/>
        <w:spacing w:before="0" w:after="120"/>
        <w:rPr>
          <w:rFonts w:eastAsia="Calibri"/>
          <w:b w:val="0"/>
          <w:lang w:val="sr-Cyrl-CS"/>
        </w:rPr>
      </w:pPr>
      <w:r w:rsidRPr="004831AB">
        <w:rPr>
          <w:rFonts w:eastAsia="Calibri"/>
          <w:b w:val="0"/>
          <w:lang w:val="sr-Cyrl-CS"/>
        </w:rPr>
        <w:t>Г) Урбанизам и просторно планирање</w:t>
      </w:r>
    </w:p>
    <w:p w14:paraId="0798E8EF" w14:textId="1ED954F1"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одрживог урбаног развоја Републике Србије до 2030. године</w:t>
      </w:r>
      <w:bookmarkStart w:id="1" w:name="_Hlk149391350"/>
      <w:r w:rsidR="00793BE7" w:rsidRPr="004831AB">
        <w:rPr>
          <w:rFonts w:ascii="Times New Roman" w:eastAsia="Calibri" w:hAnsi="Times New Roman" w:cs="Times New Roman"/>
          <w:sz w:val="24"/>
          <w:szCs w:val="24"/>
          <w:lang w:val="sr-Cyrl-CS"/>
        </w:rPr>
        <w:t xml:space="preserve"> („Службени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793BE7" w:rsidRPr="004831AB">
        <w:rPr>
          <w:rFonts w:ascii="Times New Roman" w:eastAsia="Calibri" w:hAnsi="Times New Roman" w:cs="Times New Roman"/>
          <w:sz w:val="24"/>
          <w:szCs w:val="24"/>
          <w:lang w:val="sr-Cyrl-CS"/>
        </w:rPr>
        <w:t xml:space="preserve"> 47/</w:t>
      </w:r>
      <w:r w:rsidRPr="004831AB">
        <w:rPr>
          <w:rFonts w:ascii="Times New Roman" w:eastAsia="Calibri" w:hAnsi="Times New Roman" w:cs="Times New Roman"/>
          <w:sz w:val="24"/>
          <w:szCs w:val="24"/>
          <w:lang w:val="sr-Cyrl-CS"/>
        </w:rPr>
        <w:t xml:space="preserve">19) </w:t>
      </w:r>
      <w:bookmarkEnd w:id="1"/>
      <w:r w:rsidRPr="004831AB">
        <w:rPr>
          <w:rFonts w:ascii="Times New Roman" w:eastAsia="Calibri" w:hAnsi="Times New Roman" w:cs="Times New Roman"/>
          <w:sz w:val="24"/>
          <w:szCs w:val="24"/>
          <w:lang w:val="sr-Cyrl-CS"/>
        </w:rPr>
        <w:t>поред осталог, дефинише стратешке правце развоја, који су предвиђени и Просторним планом</w:t>
      </w:r>
      <w:r w:rsidR="004426DB" w:rsidRPr="004831AB">
        <w:rPr>
          <w:lang w:val="sr-Cyrl-CS"/>
        </w:rPr>
        <w:t xml:space="preserve"> </w:t>
      </w:r>
      <w:hyperlink r:id="rId8" w:history="1">
        <w:r w:rsidR="004426DB" w:rsidRPr="004831AB">
          <w:rPr>
            <w:rStyle w:val="Hyperlink"/>
            <w:rFonts w:ascii="Times New Roman" w:hAnsi="Times New Roman" w:cs="Times New Roman"/>
            <w:color w:val="auto"/>
            <w:sz w:val="24"/>
            <w:szCs w:val="24"/>
            <w:u w:val="none"/>
            <w:lang w:val="sr-Cyrl-CS"/>
          </w:rPr>
          <w:t>Републике Србије од 2010. до 2020. године</w:t>
        </w:r>
      </w:hyperlink>
      <w:r w:rsidR="00992E80" w:rsidRPr="004831AB">
        <w:rPr>
          <w:rFonts w:ascii="Times New Roman" w:eastAsia="Calibri" w:hAnsi="Times New Roman" w:cs="Times New Roman"/>
          <w:sz w:val="24"/>
          <w:szCs w:val="24"/>
          <w:lang w:val="sr-Cyrl-CS"/>
        </w:rPr>
        <w:t xml:space="preserve"> („Службени гласник РС”, број </w:t>
      </w:r>
      <w:hyperlink r:id="rId9" w:tooltip="Zakon o Prostornom planu Republike Srbije od 2010. do 2020. godine (23/11/2010)" w:history="1">
        <w:r w:rsidR="00992E80" w:rsidRPr="004831AB">
          <w:rPr>
            <w:rFonts w:ascii="Times New Roman" w:hAnsi="Times New Roman" w:cs="Times New Roman"/>
            <w:sz w:val="24"/>
            <w:szCs w:val="24"/>
            <w:lang w:val="sr-Cyrl-CS"/>
          </w:rPr>
          <w:t>88/10</w:t>
        </w:r>
      </w:hyperlink>
      <w:r w:rsidR="00992E80" w:rsidRPr="004831AB">
        <w:rPr>
          <w:rFonts w:ascii="Times New Roman" w:eastAsia="Calibri" w:hAnsi="Times New Roman" w:cs="Times New Roman"/>
          <w:sz w:val="24"/>
          <w:szCs w:val="24"/>
          <w:lang w:val="sr-Cyrl-CS"/>
        </w:rPr>
        <w:t>)</w:t>
      </w:r>
      <w:r w:rsidR="00703788" w:rsidRPr="004831AB">
        <w:rPr>
          <w:rFonts w:ascii="Times New Roman" w:eastAsia="Calibri" w:hAnsi="Times New Roman" w:cs="Times New Roman"/>
          <w:sz w:val="24"/>
          <w:szCs w:val="24"/>
          <w:lang w:val="sr-Cyrl-CS"/>
        </w:rPr>
        <w:t>,</w:t>
      </w:r>
      <w:r w:rsidR="00992E80" w:rsidRPr="004831AB">
        <w:rPr>
          <w:rFonts w:ascii="Times New Roman" w:eastAsia="Calibri" w:hAnsi="Times New Roman" w:cs="Times New Roman"/>
          <w:sz w:val="24"/>
          <w:szCs w:val="24"/>
          <w:lang w:val="sr-Cyrl-CS"/>
        </w:rPr>
        <w:t xml:space="preserve"> </w:t>
      </w:r>
      <w:r w:rsidRPr="004831AB">
        <w:rPr>
          <w:rFonts w:ascii="Times New Roman" w:eastAsia="Calibri" w:hAnsi="Times New Roman" w:cs="Times New Roman"/>
          <w:sz w:val="24"/>
          <w:szCs w:val="24"/>
          <w:lang w:val="sr-Cyrl-CS"/>
        </w:rPr>
        <w:t xml:space="preserve">а у склопу којих је посебан показатељ број МСПП на 1000 становника у урбаном подручју. </w:t>
      </w:r>
    </w:p>
    <w:p w14:paraId="102CD6B8" w14:textId="77777777" w:rsidR="00E07095" w:rsidRPr="004831AB" w:rsidRDefault="00E07095" w:rsidP="00E47DB3">
      <w:pPr>
        <w:pStyle w:val="Heading2"/>
        <w:spacing w:before="0" w:after="120"/>
        <w:rPr>
          <w:rFonts w:eastAsia="Calibri"/>
          <w:b w:val="0"/>
          <w:lang w:val="sr-Cyrl-CS"/>
        </w:rPr>
      </w:pPr>
      <w:r w:rsidRPr="004831AB">
        <w:rPr>
          <w:rFonts w:eastAsia="Calibri"/>
          <w:b w:val="0"/>
          <w:lang w:val="sr-Cyrl-CS"/>
        </w:rPr>
        <w:t>Д) Запошљавање, социјална политика и равноправност</w:t>
      </w:r>
    </w:p>
    <w:p w14:paraId="233605AC" w14:textId="5F9C2967"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запошљавања у Републици Србији за период од 2021. до 2026. године</w:t>
      </w:r>
      <w:r w:rsidR="00591466" w:rsidRPr="004831AB">
        <w:rPr>
          <w:rFonts w:ascii="Times New Roman" w:eastAsia="Calibri" w:hAnsi="Times New Roman" w:cs="Times New Roman"/>
          <w:sz w:val="24"/>
          <w:szCs w:val="24"/>
          <w:lang w:val="sr-Cyrl-CS"/>
        </w:rPr>
        <w:t xml:space="preserve"> („Службени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00591466" w:rsidRPr="004831AB">
        <w:rPr>
          <w:rFonts w:ascii="Times New Roman" w:eastAsia="Calibri" w:hAnsi="Times New Roman" w:cs="Times New Roman"/>
          <w:sz w:val="24"/>
          <w:szCs w:val="24"/>
          <w:lang w:val="sr-Cyrl-CS"/>
        </w:rPr>
        <w:t>, бр. 18/21 и 36/21 – исправка</w:t>
      </w:r>
      <w:r w:rsidRPr="004831AB">
        <w:rPr>
          <w:rFonts w:ascii="Times New Roman" w:eastAsia="Calibri" w:hAnsi="Times New Roman" w:cs="Times New Roman"/>
          <w:sz w:val="24"/>
          <w:szCs w:val="24"/>
          <w:lang w:val="sr-Cyrl-CS"/>
        </w:rPr>
        <w:t>) предвиђа пакет мера, који садржи меру – Подстицање креирања послова (1.3). Овом мером је предвиђено да министарство надлежно за послове привреде, Фонд за развој Републике Србије</w:t>
      </w:r>
      <w:r w:rsidR="003418FA" w:rsidRPr="004831AB">
        <w:rPr>
          <w:rFonts w:ascii="Times New Roman" w:eastAsia="Calibri" w:hAnsi="Times New Roman" w:cs="Times New Roman"/>
          <w:sz w:val="24"/>
          <w:szCs w:val="24"/>
          <w:lang w:val="sr-Cyrl-CS"/>
        </w:rPr>
        <w:t xml:space="preserve"> (у даљем тексту: ФЗР)</w:t>
      </w:r>
      <w:r w:rsidRPr="004831AB">
        <w:rPr>
          <w:rFonts w:ascii="Times New Roman" w:eastAsia="Calibri" w:hAnsi="Times New Roman" w:cs="Times New Roman"/>
          <w:sz w:val="24"/>
          <w:szCs w:val="24"/>
          <w:lang w:val="sr-Cyrl-CS"/>
        </w:rPr>
        <w:t xml:space="preserve"> и друге институције, </w:t>
      </w:r>
      <w:r w:rsidR="003418FA" w:rsidRPr="004831AB">
        <w:rPr>
          <w:rFonts w:ascii="Times New Roman" w:eastAsia="Calibri" w:hAnsi="Times New Roman" w:cs="Times New Roman"/>
          <w:sz w:val="24"/>
          <w:szCs w:val="24"/>
          <w:lang w:val="sr-Cyrl-CS"/>
        </w:rPr>
        <w:t xml:space="preserve">наставе </w:t>
      </w:r>
      <w:r w:rsidRPr="004831AB">
        <w:rPr>
          <w:rFonts w:ascii="Times New Roman" w:eastAsia="Calibri" w:hAnsi="Times New Roman" w:cs="Times New Roman"/>
          <w:sz w:val="24"/>
          <w:szCs w:val="24"/>
          <w:lang w:val="sr-Cyrl-CS"/>
        </w:rPr>
        <w:t xml:space="preserve">са пружањем подршке почетку пословања, али и расту и развоју већ покренутих послова у оквиру микро, малих и средњих предузећа и предузетника. </w:t>
      </w:r>
    </w:p>
    <w:p w14:paraId="6A844D21" w14:textId="0546E655"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Стратегија за родну равноправност за период од 2021. до 2030. године </w:t>
      </w:r>
      <w:r w:rsidRPr="004831AB">
        <w:rPr>
          <w:rFonts w:ascii="Times New Roman" w:eastAsia="Calibri" w:hAnsi="Times New Roman" w:cs="Times New Roman"/>
          <w:sz w:val="24"/>
          <w:szCs w:val="24"/>
          <w:lang w:val="sr-Cyrl-CS"/>
        </w:rPr>
        <w:t>(</w:t>
      </w:r>
      <w:r w:rsidR="00591466"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Pr="004831AB">
        <w:rPr>
          <w:rFonts w:ascii="Times New Roman" w:eastAsia="Calibri" w:hAnsi="Times New Roman" w:cs="Times New Roman"/>
          <w:sz w:val="24"/>
          <w:szCs w:val="24"/>
          <w:lang w:val="sr-Cyrl-CS"/>
        </w:rPr>
        <w:t xml:space="preserve"> 103/21) предвиђа меру - Успостављање системске подршке за започињање, </w:t>
      </w:r>
      <w:r w:rsidRPr="004831AB">
        <w:rPr>
          <w:rFonts w:ascii="Times New Roman" w:eastAsia="Calibri" w:hAnsi="Times New Roman" w:cs="Times New Roman"/>
          <w:sz w:val="24"/>
          <w:szCs w:val="24"/>
          <w:lang w:val="sr-Cyrl-CS"/>
        </w:rPr>
        <w:lastRenderedPageBreak/>
        <w:t>развој и раст бизниса у већинском власништву жена и повећање профитабилности њихових предузетничких активности.  Ова мера има за циљ да смањи родни јаз у предузетништву, повећа учешће жена у предузетништву</w:t>
      </w:r>
      <w:r w:rsidR="00833AB1"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w:t>
      </w:r>
      <w:r w:rsidR="00833AB1" w:rsidRPr="004831AB">
        <w:rPr>
          <w:rFonts w:ascii="Times New Roman" w:eastAsia="Calibri" w:hAnsi="Times New Roman" w:cs="Times New Roman"/>
          <w:sz w:val="24"/>
          <w:szCs w:val="24"/>
          <w:lang w:val="sr-Cyrl-CS"/>
        </w:rPr>
        <w:t>олакша излазак из неформалне економије, повећа приходе, профитабилност, одрживост и стопу преживљавања бизниса у власништву жена</w:t>
      </w:r>
      <w:r w:rsidRPr="004831AB">
        <w:rPr>
          <w:rFonts w:ascii="Times New Roman" w:eastAsia="Calibri" w:hAnsi="Times New Roman" w:cs="Times New Roman"/>
          <w:sz w:val="24"/>
          <w:szCs w:val="24"/>
          <w:lang w:val="sr-Cyrl-CS"/>
        </w:rPr>
        <w:t>.</w:t>
      </w:r>
    </w:p>
    <w:p w14:paraId="708FED49" w14:textId="4D35E6EA"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Стратегија за социјално укључивање Рома и Ромкиња у Републици Србији за период 2022-2030. године </w:t>
      </w:r>
      <w:r w:rsidRPr="004831AB">
        <w:rPr>
          <w:rFonts w:ascii="Times New Roman" w:eastAsia="Calibri" w:hAnsi="Times New Roman" w:cs="Times New Roman"/>
          <w:sz w:val="24"/>
          <w:szCs w:val="24"/>
          <w:lang w:val="sr-Cyrl-CS"/>
        </w:rPr>
        <w:t>(</w:t>
      </w:r>
      <w:r w:rsidR="00591466"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591466" w:rsidRPr="004831AB">
        <w:rPr>
          <w:rFonts w:ascii="Times New Roman" w:eastAsia="Calibri" w:hAnsi="Times New Roman" w:cs="Times New Roman"/>
          <w:sz w:val="24"/>
          <w:szCs w:val="24"/>
          <w:lang w:val="sr-Cyrl-CS"/>
        </w:rPr>
        <w:t xml:space="preserve"> 23/</w:t>
      </w:r>
      <w:r w:rsidRPr="004831AB">
        <w:rPr>
          <w:rFonts w:ascii="Times New Roman" w:eastAsia="Calibri" w:hAnsi="Times New Roman" w:cs="Times New Roman"/>
          <w:sz w:val="24"/>
          <w:szCs w:val="24"/>
          <w:lang w:val="sr-Cyrl-CS"/>
        </w:rPr>
        <w:t xml:space="preserve">22) ставља посебан акценат на промовисање предузетништва за незапослена лица ромске националности, односно за покретање сопственог посла, као и додатну менторску подршку, како би се повећале шансе за одрживост покренутог посла. </w:t>
      </w:r>
    </w:p>
    <w:p w14:paraId="5C536BC2" w14:textId="5F9DB53F" w:rsidR="00591466"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о економским миграцијама Републике Србије за период 2021-2027. године</w:t>
      </w:r>
      <w:r w:rsidRPr="004831AB">
        <w:rPr>
          <w:rFonts w:ascii="Times New Roman" w:eastAsia="Calibri" w:hAnsi="Times New Roman" w:cs="Times New Roman"/>
          <w:sz w:val="24"/>
          <w:szCs w:val="24"/>
          <w:lang w:val="sr-Cyrl-CS"/>
        </w:rPr>
        <w:t xml:space="preserve"> (</w:t>
      </w:r>
      <w:r w:rsidR="00591466"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591466" w:rsidRPr="004831AB">
        <w:rPr>
          <w:rFonts w:ascii="Times New Roman" w:eastAsia="Calibri" w:hAnsi="Times New Roman" w:cs="Times New Roman"/>
          <w:sz w:val="24"/>
          <w:szCs w:val="24"/>
          <w:lang w:val="sr-Cyrl-CS"/>
        </w:rPr>
        <w:t xml:space="preserve"> 21/</w:t>
      </w:r>
      <w:r w:rsidRPr="004831AB">
        <w:rPr>
          <w:rFonts w:ascii="Times New Roman" w:eastAsia="Calibri" w:hAnsi="Times New Roman" w:cs="Times New Roman"/>
          <w:sz w:val="24"/>
          <w:szCs w:val="24"/>
          <w:lang w:val="sr-Cyrl-CS"/>
        </w:rPr>
        <w:t xml:space="preserve">20) предвиђа унапређење услова живота и рада у привредном и друштвеном сектору, </w:t>
      </w:r>
      <w:r w:rsidR="003418FA" w:rsidRPr="004831AB">
        <w:rPr>
          <w:rFonts w:ascii="Times New Roman" w:eastAsia="Calibri" w:hAnsi="Times New Roman" w:cs="Times New Roman"/>
          <w:sz w:val="24"/>
          <w:szCs w:val="24"/>
          <w:lang w:val="sr-Cyrl-CS"/>
        </w:rPr>
        <w:t>односно омогућавање запошљавања</w:t>
      </w:r>
      <w:r w:rsidR="003418FA" w:rsidRPr="004831AB">
        <w:rPr>
          <w:rFonts w:ascii="Times New Roman" w:eastAsia="Calibri" w:hAnsi="Times New Roman" w:cs="Times New Roman"/>
          <w:bCs/>
          <w:sz w:val="24"/>
          <w:szCs w:val="24"/>
          <w:lang w:val="sr-Cyrl-CS"/>
        </w:rPr>
        <w:t xml:space="preserve"> </w:t>
      </w:r>
      <w:r w:rsidRPr="004831AB">
        <w:rPr>
          <w:rFonts w:ascii="Times New Roman" w:eastAsia="Calibri" w:hAnsi="Times New Roman" w:cs="Times New Roman"/>
          <w:sz w:val="24"/>
          <w:szCs w:val="24"/>
          <w:lang w:val="sr-Cyrl-CS"/>
        </w:rPr>
        <w:t>кроз развој иновативног предузетништва и оснивања малих и средњих предузећа</w:t>
      </w:r>
      <w:r w:rsidR="00591466" w:rsidRPr="004831AB">
        <w:rPr>
          <w:rFonts w:ascii="Times New Roman" w:eastAsia="Calibri" w:hAnsi="Times New Roman" w:cs="Times New Roman"/>
          <w:sz w:val="24"/>
          <w:szCs w:val="24"/>
          <w:lang w:val="sr-Cyrl-CS"/>
        </w:rPr>
        <w:t>.</w:t>
      </w:r>
    </w:p>
    <w:p w14:paraId="75B9F86F" w14:textId="6CB19831"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Ђ) Омладина</w:t>
      </w:r>
    </w:p>
    <w:p w14:paraId="7A7CA0F9" w14:textId="627C06DF" w:rsidR="00E07095" w:rsidRPr="004831AB" w:rsidRDefault="008B13CC"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за младе у Републици Србији за период од 2023. до 2030. године</w:t>
      </w:r>
      <w:r w:rsidR="00E07095" w:rsidRPr="004831AB">
        <w:rPr>
          <w:rFonts w:ascii="Times New Roman" w:eastAsia="Calibri" w:hAnsi="Times New Roman" w:cs="Times New Roman"/>
          <w:sz w:val="24"/>
          <w:szCs w:val="24"/>
          <w:lang w:val="sr-Cyrl-CS"/>
        </w:rPr>
        <w:t xml:space="preserve"> (</w:t>
      </w:r>
      <w:r w:rsidR="00591466" w:rsidRPr="004831AB">
        <w:rPr>
          <w:rFonts w:ascii="Times New Roman" w:eastAsia="Calibri" w:hAnsi="Times New Roman" w:cs="Times New Roman"/>
          <w:sz w:val="24"/>
          <w:szCs w:val="24"/>
          <w:lang w:val="sr-Cyrl-CS"/>
        </w:rPr>
        <w:t xml:space="preserve">„Службени </w:t>
      </w:r>
      <w:r w:rsidR="00E07095"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00E07095"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E07095" w:rsidRPr="004831AB">
        <w:rPr>
          <w:rFonts w:ascii="Times New Roman" w:eastAsia="Calibri" w:hAnsi="Times New Roman" w:cs="Times New Roman"/>
          <w:sz w:val="24"/>
          <w:szCs w:val="24"/>
          <w:lang w:val="sr-Cyrl-CS"/>
        </w:rPr>
        <w:t xml:space="preserve"> </w:t>
      </w:r>
      <w:r w:rsidRPr="004831AB">
        <w:rPr>
          <w:rFonts w:ascii="Times New Roman" w:eastAsia="Calibri" w:hAnsi="Times New Roman" w:cs="Times New Roman"/>
          <w:sz w:val="24"/>
          <w:szCs w:val="24"/>
          <w:lang w:val="sr-Cyrl-CS"/>
        </w:rPr>
        <w:t>9</w:t>
      </w:r>
      <w:r w:rsidR="00C211ED"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23</w:t>
      </w:r>
      <w:r w:rsidR="00E07095" w:rsidRPr="004831AB">
        <w:rPr>
          <w:rFonts w:ascii="Times New Roman" w:eastAsia="Calibri" w:hAnsi="Times New Roman" w:cs="Times New Roman"/>
          <w:sz w:val="24"/>
          <w:szCs w:val="24"/>
          <w:lang w:val="sr-Cyrl-CS"/>
        </w:rPr>
        <w:t xml:space="preserve">) </w:t>
      </w:r>
      <w:r w:rsidR="00AE7CB2" w:rsidRPr="004831AB">
        <w:rPr>
          <w:rFonts w:ascii="Times New Roman" w:eastAsia="Calibri" w:hAnsi="Times New Roman" w:cs="Times New Roman"/>
          <w:sz w:val="24"/>
          <w:szCs w:val="24"/>
          <w:lang w:val="sr-Cyrl-CS"/>
        </w:rPr>
        <w:t>предвиђа</w:t>
      </w:r>
      <w:r w:rsidR="00E07095" w:rsidRPr="004831AB">
        <w:rPr>
          <w:rFonts w:ascii="Times New Roman" w:eastAsia="Calibri" w:hAnsi="Times New Roman" w:cs="Times New Roman"/>
          <w:sz w:val="24"/>
          <w:szCs w:val="24"/>
          <w:lang w:val="sr-Cyrl-CS"/>
        </w:rPr>
        <w:t xml:space="preserve">, поред осталог, </w:t>
      </w:r>
      <w:r w:rsidR="00AE7CB2" w:rsidRPr="004831AB">
        <w:rPr>
          <w:rFonts w:ascii="Times New Roman" w:eastAsia="Calibri" w:hAnsi="Times New Roman" w:cs="Times New Roman"/>
          <w:sz w:val="24"/>
          <w:szCs w:val="24"/>
          <w:lang w:val="sr-Cyrl-CS"/>
        </w:rPr>
        <w:t>у Мери</w:t>
      </w:r>
      <w:r w:rsidR="00B13766" w:rsidRPr="004831AB">
        <w:rPr>
          <w:rFonts w:ascii="Times New Roman" w:eastAsia="Calibri" w:hAnsi="Times New Roman" w:cs="Times New Roman"/>
          <w:sz w:val="24"/>
          <w:szCs w:val="24"/>
          <w:lang w:val="sr-Cyrl-CS"/>
        </w:rPr>
        <w:t xml:space="preserve"> </w:t>
      </w:r>
      <w:r w:rsidR="00C211ED" w:rsidRPr="004831AB">
        <w:rPr>
          <w:rFonts w:ascii="Times New Roman" w:eastAsia="Calibri" w:hAnsi="Times New Roman" w:cs="Times New Roman"/>
          <w:sz w:val="24"/>
          <w:szCs w:val="24"/>
          <w:lang w:val="sr-Cyrl-CS"/>
        </w:rPr>
        <w:t>4.3, п</w:t>
      </w:r>
      <w:r w:rsidR="00AE7CB2" w:rsidRPr="004831AB">
        <w:rPr>
          <w:rFonts w:ascii="Times New Roman" w:eastAsia="Calibri" w:hAnsi="Times New Roman" w:cs="Times New Roman"/>
          <w:sz w:val="24"/>
          <w:szCs w:val="24"/>
          <w:lang w:val="sr-Cyrl-CS"/>
        </w:rPr>
        <w:t>одршку предузетништву, социјалном предузетништву и запошљивости младих.</w:t>
      </w:r>
    </w:p>
    <w:p w14:paraId="1A386AF8" w14:textId="77777777" w:rsidR="00E07095" w:rsidRPr="004831AB" w:rsidRDefault="00E07095" w:rsidP="00591466">
      <w:pPr>
        <w:pStyle w:val="Heading2"/>
        <w:spacing w:before="0" w:after="120"/>
        <w:ind w:firstLine="0"/>
        <w:rPr>
          <w:rFonts w:eastAsia="Calibri"/>
          <w:b w:val="0"/>
          <w:lang w:val="sr-Cyrl-CS"/>
        </w:rPr>
      </w:pPr>
      <w:r w:rsidRPr="004831AB">
        <w:rPr>
          <w:rFonts w:eastAsia="Calibri"/>
          <w:b w:val="0"/>
          <w:lang w:val="sr-Cyrl-CS"/>
        </w:rPr>
        <w:t>Е) Финансијска тржишта</w:t>
      </w:r>
    </w:p>
    <w:p w14:paraId="016C5EF9" w14:textId="2936EE3D"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Стратегија за развој тржишта капитала у Републици Србији за период од 2021. до 2026. године</w:t>
      </w:r>
      <w:r w:rsidRPr="004831AB">
        <w:rPr>
          <w:rFonts w:ascii="Times New Roman" w:eastAsia="Calibri" w:hAnsi="Times New Roman" w:cs="Times New Roman"/>
          <w:sz w:val="24"/>
          <w:szCs w:val="24"/>
          <w:lang w:val="sr-Cyrl-CS"/>
        </w:rPr>
        <w:t xml:space="preserve"> (</w:t>
      </w:r>
      <w:r w:rsidR="00C211ED"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C211ED" w:rsidRPr="004831AB">
        <w:rPr>
          <w:rFonts w:ascii="Times New Roman" w:eastAsia="Calibri" w:hAnsi="Times New Roman" w:cs="Times New Roman"/>
          <w:sz w:val="24"/>
          <w:szCs w:val="24"/>
          <w:lang w:val="sr-Cyrl-CS"/>
        </w:rPr>
        <w:t xml:space="preserve"> 102/</w:t>
      </w:r>
      <w:r w:rsidRPr="004831AB">
        <w:rPr>
          <w:rFonts w:ascii="Times New Roman" w:eastAsia="Calibri" w:hAnsi="Times New Roman" w:cs="Times New Roman"/>
          <w:sz w:val="24"/>
          <w:szCs w:val="24"/>
          <w:lang w:val="sr-Cyrl-CS"/>
        </w:rPr>
        <w:t>21) као један од разлога за доношење, наводи потребу да се обезбеди диверсификација извора финансирања, који треба да допринесе смањењу трошкова прикупљања капитала, посебно у случају малих и средњих предузећа. Развој тржишта текућих обавеза компанија, посебно факторинг трансакција, омогућава да мала и средња предузећа користе потраживања која држе од својих купаца као залог или гаранцију за добијање кредита у сврхе обртног капитала.</w:t>
      </w:r>
    </w:p>
    <w:p w14:paraId="358436BF" w14:textId="77777777" w:rsidR="00E07095" w:rsidRPr="004831AB" w:rsidRDefault="00E07095" w:rsidP="00253833">
      <w:pPr>
        <w:pStyle w:val="Heading2"/>
        <w:spacing w:before="0" w:after="120"/>
        <w:ind w:firstLine="0"/>
        <w:rPr>
          <w:rFonts w:eastAsia="Calibri"/>
          <w:b w:val="0"/>
          <w:lang w:val="sr-Cyrl-CS"/>
        </w:rPr>
      </w:pPr>
      <w:r w:rsidRPr="004831AB">
        <w:rPr>
          <w:rFonts w:eastAsia="Calibri"/>
          <w:b w:val="0"/>
          <w:lang w:val="sr-Cyrl-CS"/>
        </w:rPr>
        <w:t>Ж) Туризам</w:t>
      </w:r>
    </w:p>
    <w:p w14:paraId="2C351162" w14:textId="63EDAA76" w:rsidR="00E07095"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Стратегија развоја туризма Републике Србије за период од 2016. до 2025. године </w:t>
      </w:r>
      <w:r w:rsidR="00C211ED"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C211ED" w:rsidRPr="004831AB">
        <w:rPr>
          <w:rFonts w:ascii="Times New Roman" w:eastAsia="Calibri" w:hAnsi="Times New Roman" w:cs="Times New Roman"/>
          <w:sz w:val="24"/>
          <w:szCs w:val="24"/>
          <w:lang w:val="sr-Cyrl-CS"/>
        </w:rPr>
        <w:t xml:space="preserve"> 98/</w:t>
      </w:r>
      <w:r w:rsidRPr="004831AB">
        <w:rPr>
          <w:rFonts w:ascii="Times New Roman" w:eastAsia="Calibri" w:hAnsi="Times New Roman" w:cs="Times New Roman"/>
          <w:sz w:val="24"/>
          <w:szCs w:val="24"/>
          <w:lang w:val="sr-Cyrl-CS"/>
        </w:rPr>
        <w:t>16</w:t>
      </w:r>
      <w:r w:rsidR="00B13766"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садржи посебан одељак под називом „Мислити прво на мало</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у којем се излажу потенцијалне пословне могућности за развој предузетништва и МСПП у области туризма.</w:t>
      </w:r>
      <w:r w:rsidR="003418FA" w:rsidRPr="004831AB">
        <w:rPr>
          <w:rFonts w:ascii="Times New Roman" w:eastAsia="Calibri" w:hAnsi="Times New Roman" w:cs="Times New Roman"/>
          <w:sz w:val="24"/>
          <w:szCs w:val="24"/>
          <w:lang w:val="sr-Cyrl-CS"/>
        </w:rPr>
        <w:t xml:space="preserve"> Наиме,</w:t>
      </w:r>
      <w:r w:rsidR="00693454" w:rsidRPr="004831AB">
        <w:rPr>
          <w:rFonts w:ascii="Times New Roman" w:eastAsia="Calibri" w:hAnsi="Times New Roman" w:cs="Times New Roman"/>
          <w:sz w:val="24"/>
          <w:szCs w:val="24"/>
          <w:lang w:val="sr-Cyrl-CS"/>
        </w:rPr>
        <w:t xml:space="preserve"> </w:t>
      </w:r>
      <w:r w:rsidR="003418FA" w:rsidRPr="004831AB">
        <w:rPr>
          <w:rFonts w:ascii="Times New Roman" w:eastAsia="Calibri" w:hAnsi="Times New Roman" w:cs="Times New Roman"/>
          <w:sz w:val="24"/>
          <w:szCs w:val="24"/>
          <w:lang w:val="sr-Cyrl-CS"/>
        </w:rPr>
        <w:t>п</w:t>
      </w:r>
      <w:r w:rsidRPr="004831AB">
        <w:rPr>
          <w:rFonts w:ascii="Times New Roman" w:eastAsia="Calibri" w:hAnsi="Times New Roman" w:cs="Times New Roman"/>
          <w:sz w:val="24"/>
          <w:szCs w:val="24"/>
          <w:lang w:val="sr-Cyrl-CS"/>
        </w:rPr>
        <w:t>редвиђене су посебне мере подршке развоју предузетништва и МСПП у области туризма. То су мера - Праћење и извештавање о стању развијености предузетништва и МСПП у привредној структури туризма</w:t>
      </w:r>
      <w:r w:rsidR="000B7D8B" w:rsidRPr="004831AB">
        <w:rPr>
          <w:rFonts w:ascii="Times New Roman" w:eastAsia="Calibri" w:hAnsi="Times New Roman" w:cs="Times New Roman"/>
          <w:sz w:val="24"/>
          <w:szCs w:val="24"/>
          <w:lang w:val="sr-Cyrl-CS"/>
        </w:rPr>
        <w:t xml:space="preserve"> Републике </w:t>
      </w:r>
      <w:r w:rsidRPr="004831AB">
        <w:rPr>
          <w:rFonts w:ascii="Times New Roman" w:eastAsia="Calibri" w:hAnsi="Times New Roman" w:cs="Times New Roman"/>
          <w:sz w:val="24"/>
          <w:szCs w:val="24"/>
          <w:lang w:val="sr-Cyrl-CS"/>
        </w:rPr>
        <w:t xml:space="preserve">Србије и мера - Подршка развоју МСПП у области туризма, путем наставка и даљег развоја програма кредитирања у циљу подстицања квалитета туристичке понуде и унапређења постојећих мера подршке у области туризма са нагласком на сектор </w:t>
      </w:r>
      <w:r w:rsidR="00D633BD" w:rsidRPr="004831AB">
        <w:rPr>
          <w:rFonts w:ascii="Times New Roman" w:eastAsia="Calibri" w:hAnsi="Times New Roman" w:cs="Times New Roman"/>
          <w:sz w:val="24"/>
          <w:szCs w:val="24"/>
          <w:lang w:val="sr-Cyrl-CS"/>
        </w:rPr>
        <w:t>МСПП</w:t>
      </w:r>
      <w:r w:rsidRPr="004831AB">
        <w:rPr>
          <w:rFonts w:ascii="Times New Roman" w:eastAsia="Calibri" w:hAnsi="Times New Roman" w:cs="Times New Roman"/>
          <w:sz w:val="24"/>
          <w:szCs w:val="24"/>
          <w:lang w:val="sr-Cyrl-CS"/>
        </w:rPr>
        <w:t>.</w:t>
      </w:r>
    </w:p>
    <w:p w14:paraId="2FB150A0" w14:textId="77777777" w:rsidR="000F020F" w:rsidRPr="004831AB" w:rsidRDefault="000F020F" w:rsidP="00E47DB3">
      <w:pPr>
        <w:spacing w:after="120"/>
        <w:ind w:firstLine="714"/>
        <w:jc w:val="both"/>
        <w:rPr>
          <w:rFonts w:ascii="Times New Roman" w:eastAsia="Calibri" w:hAnsi="Times New Roman" w:cs="Times New Roman"/>
          <w:sz w:val="24"/>
          <w:szCs w:val="24"/>
          <w:lang w:val="sr-Cyrl-CS"/>
        </w:rPr>
      </w:pPr>
    </w:p>
    <w:p w14:paraId="0AE8B34C" w14:textId="77777777" w:rsidR="00E07095" w:rsidRPr="004831AB" w:rsidRDefault="00E07095" w:rsidP="00253833">
      <w:pPr>
        <w:pStyle w:val="Heading2"/>
        <w:spacing w:before="0" w:after="120"/>
        <w:ind w:firstLine="0"/>
        <w:rPr>
          <w:rFonts w:eastAsia="Calibri"/>
          <w:b w:val="0"/>
          <w:lang w:val="sr-Cyrl-CS"/>
        </w:rPr>
      </w:pPr>
      <w:r w:rsidRPr="004831AB">
        <w:rPr>
          <w:rFonts w:eastAsia="Calibri"/>
          <w:b w:val="0"/>
          <w:lang w:val="sr-Cyrl-CS"/>
        </w:rPr>
        <w:t xml:space="preserve">З) Енергетика </w:t>
      </w:r>
    </w:p>
    <w:p w14:paraId="1C332428" w14:textId="3B6049C8"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Стратегија развоја енергетике Републике Србије до 2025. године са пројекцијама до 2030. године </w:t>
      </w:r>
      <w:r w:rsidRPr="004831AB">
        <w:rPr>
          <w:rFonts w:ascii="Times New Roman" w:eastAsia="Calibri" w:hAnsi="Times New Roman" w:cs="Times New Roman"/>
          <w:sz w:val="24"/>
          <w:szCs w:val="24"/>
          <w:lang w:val="sr-Cyrl-CS"/>
        </w:rPr>
        <w:t>(</w:t>
      </w:r>
      <w:r w:rsidR="00C35722" w:rsidRPr="004831AB">
        <w:rPr>
          <w:rFonts w:ascii="Times New Roman" w:eastAsia="Calibri" w:hAnsi="Times New Roman" w:cs="Times New Roman"/>
          <w:sz w:val="24"/>
          <w:szCs w:val="24"/>
          <w:lang w:val="sr-Cyrl-CS"/>
        </w:rPr>
        <w:t>„</w:t>
      </w:r>
      <w:r w:rsidR="000164BC"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C35722" w:rsidRPr="004831AB">
        <w:rPr>
          <w:rFonts w:ascii="Times New Roman"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0164BC" w:rsidRPr="004831AB">
        <w:rPr>
          <w:rFonts w:ascii="Times New Roman" w:eastAsia="Calibri" w:hAnsi="Times New Roman" w:cs="Times New Roman"/>
          <w:sz w:val="24"/>
          <w:szCs w:val="24"/>
          <w:lang w:val="sr-Cyrl-CS"/>
        </w:rPr>
        <w:t xml:space="preserve"> 101/</w:t>
      </w:r>
      <w:r w:rsidRPr="004831AB">
        <w:rPr>
          <w:rFonts w:ascii="Times New Roman" w:eastAsia="Calibri" w:hAnsi="Times New Roman" w:cs="Times New Roman"/>
          <w:sz w:val="24"/>
          <w:szCs w:val="24"/>
          <w:lang w:val="sr-Cyrl-CS"/>
        </w:rPr>
        <w:t xml:space="preserve">15), поред осталог, предвиђа усмеравање </w:t>
      </w:r>
      <w:r w:rsidRPr="004831AB">
        <w:rPr>
          <w:rFonts w:ascii="Times New Roman" w:eastAsia="Calibri" w:hAnsi="Times New Roman" w:cs="Times New Roman"/>
          <w:sz w:val="24"/>
          <w:szCs w:val="24"/>
          <w:lang w:val="sr-Cyrl-CS"/>
        </w:rPr>
        <w:lastRenderedPageBreak/>
        <w:t>развоја енергетских капацитета у правцу производње опреме и постројења за коришћење обновљивих извора енергије, нарочито биомасе и хидроенергије, а релативно мањи капацитети ових производних јединица су идеални за развој малих и средњих предузећа.</w:t>
      </w:r>
    </w:p>
    <w:p w14:paraId="70FED930" w14:textId="77777777" w:rsidR="00E07095" w:rsidRPr="004831AB" w:rsidRDefault="00E07095" w:rsidP="00903A05">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И) Заштита животне средине</w:t>
      </w:r>
    </w:p>
    <w:p w14:paraId="7BDEEB4A" w14:textId="5E84AF6C" w:rsidR="00E07095" w:rsidRPr="004831AB" w:rsidRDefault="00E07095" w:rsidP="00E47DB3">
      <w:pPr>
        <w:spacing w:after="120"/>
        <w:ind w:firstLine="720"/>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Програм заштите природе Републике Србије за период 2021. до 2023.</w:t>
      </w:r>
      <w:r w:rsidRPr="004831AB">
        <w:rPr>
          <w:rFonts w:ascii="Times New Roman" w:eastAsia="Calibri" w:hAnsi="Times New Roman" w:cs="Times New Roman"/>
          <w:sz w:val="24"/>
          <w:szCs w:val="24"/>
          <w:lang w:val="sr-Cyrl-CS"/>
        </w:rPr>
        <w:t xml:space="preserve"> </w:t>
      </w:r>
      <w:r w:rsidR="00506F00" w:rsidRPr="004831AB">
        <w:rPr>
          <w:rFonts w:ascii="Times New Roman" w:eastAsia="Calibri" w:hAnsi="Times New Roman" w:cs="Times New Roman"/>
          <w:sz w:val="24"/>
          <w:szCs w:val="24"/>
          <w:lang w:val="sr-Cyrl-CS"/>
        </w:rPr>
        <w:t xml:space="preserve"> године </w:t>
      </w:r>
      <w:r w:rsidR="00903A05" w:rsidRPr="004831AB">
        <w:rPr>
          <w:rFonts w:ascii="Times New Roman" w:eastAsia="Calibri" w:hAnsi="Times New Roman" w:cs="Times New Roman"/>
          <w:sz w:val="24"/>
          <w:szCs w:val="24"/>
          <w:lang w:val="sr-Cyrl-CS"/>
        </w:rPr>
        <w:t>(„Службени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00903A05"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бр</w:t>
      </w:r>
      <w:r w:rsidR="00541D2B" w:rsidRPr="004831AB">
        <w:rPr>
          <w:rFonts w:ascii="Times New Roman" w:eastAsia="Calibri" w:hAnsi="Times New Roman" w:cs="Times New Roman"/>
          <w:sz w:val="24"/>
          <w:szCs w:val="24"/>
          <w:lang w:val="sr-Cyrl-CS"/>
        </w:rPr>
        <w:t>ој</w:t>
      </w:r>
      <w:r w:rsidR="00903A05" w:rsidRPr="004831AB">
        <w:rPr>
          <w:rFonts w:ascii="Times New Roman" w:eastAsia="Calibri" w:hAnsi="Times New Roman" w:cs="Times New Roman"/>
          <w:sz w:val="24"/>
          <w:szCs w:val="24"/>
          <w:lang w:val="sr-Cyrl-CS"/>
        </w:rPr>
        <w:t xml:space="preserve"> 53/</w:t>
      </w:r>
      <w:r w:rsidRPr="004831AB">
        <w:rPr>
          <w:rFonts w:ascii="Times New Roman" w:eastAsia="Calibri" w:hAnsi="Times New Roman" w:cs="Times New Roman"/>
          <w:sz w:val="24"/>
          <w:szCs w:val="24"/>
          <w:lang w:val="sr-Cyrl-CS"/>
        </w:rPr>
        <w:t xml:space="preserve">21) садржи мере заштите природе и очувања биолошке разноврсности, у контексту одрживог развоја, укључујући активности привредних субјеката. </w:t>
      </w:r>
    </w:p>
    <w:p w14:paraId="2CEA071F" w14:textId="4D31A9DF" w:rsidR="00853400" w:rsidRPr="004831AB" w:rsidRDefault="00853400" w:rsidP="00903A05">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Програм развоја циркуларне економије у Републици Србији з</w:t>
      </w:r>
      <w:r w:rsidR="00903A05" w:rsidRPr="004831AB">
        <w:rPr>
          <w:rFonts w:ascii="Times New Roman" w:eastAsia="Calibri" w:hAnsi="Times New Roman" w:cs="Times New Roman"/>
          <w:sz w:val="24"/>
          <w:szCs w:val="24"/>
          <w:lang w:val="sr-Cyrl-CS"/>
        </w:rPr>
        <w:t>а период 2022-2024. године („Службени гласник РС”, број 137/</w:t>
      </w:r>
      <w:r w:rsidRPr="004831AB">
        <w:rPr>
          <w:rFonts w:ascii="Times New Roman" w:eastAsia="Calibri" w:hAnsi="Times New Roman" w:cs="Times New Roman"/>
          <w:sz w:val="24"/>
          <w:szCs w:val="24"/>
          <w:lang w:val="sr-Cyrl-CS"/>
        </w:rPr>
        <w:t>22) предвиђа подршку привредним субјектима за унапређење ефикасности производње, кроз примену нових технологија, енергетску ефикасност, коришћење обновљивих извора енергије и материјала.</w:t>
      </w:r>
    </w:p>
    <w:p w14:paraId="31F5629B" w14:textId="77777777" w:rsidR="00E07095" w:rsidRPr="004831AB" w:rsidRDefault="00E07095" w:rsidP="00903A05">
      <w:pPr>
        <w:pStyle w:val="Heading2"/>
        <w:spacing w:before="0" w:after="120"/>
        <w:ind w:firstLine="0"/>
        <w:rPr>
          <w:rFonts w:eastAsia="Calibri"/>
          <w:b w:val="0"/>
          <w:bCs/>
          <w:lang w:val="sr-Cyrl-CS"/>
        </w:rPr>
      </w:pPr>
      <w:r w:rsidRPr="004831AB">
        <w:rPr>
          <w:rFonts w:eastAsia="Calibri"/>
          <w:b w:val="0"/>
          <w:lang w:val="sr-Cyrl-CS"/>
        </w:rPr>
        <w:t>Ј) Јавна управа</w:t>
      </w:r>
    </w:p>
    <w:p w14:paraId="2DD49D5D" w14:textId="6DB9EE69" w:rsidR="0060037D" w:rsidRPr="004831AB" w:rsidRDefault="003418FA" w:rsidP="00E47DB3">
      <w:pPr>
        <w:spacing w:after="120"/>
        <w:ind w:firstLine="714"/>
        <w:jc w:val="both"/>
        <w:rPr>
          <w:rFonts w:ascii="Times New Roman" w:eastAsia="Calibri" w:hAnsi="Times New Roman" w:cs="Times New Roman"/>
          <w:bCs/>
          <w:sz w:val="24"/>
          <w:szCs w:val="24"/>
          <w:lang w:val="sr-Cyrl-CS"/>
        </w:rPr>
      </w:pPr>
      <w:r w:rsidRPr="004831AB">
        <w:rPr>
          <w:rFonts w:ascii="Times New Roman" w:eastAsia="Calibri" w:hAnsi="Times New Roman" w:cs="Times New Roman"/>
          <w:bCs/>
          <w:sz w:val="24"/>
          <w:szCs w:val="24"/>
          <w:lang w:val="sr-Cyrl-CS"/>
        </w:rPr>
        <w:t xml:space="preserve">Стратегија </w:t>
      </w:r>
      <w:r w:rsidR="0060037D" w:rsidRPr="004831AB">
        <w:rPr>
          <w:rFonts w:ascii="Times New Roman" w:eastAsia="Calibri" w:hAnsi="Times New Roman" w:cs="Times New Roman"/>
          <w:bCs/>
          <w:sz w:val="24"/>
          <w:szCs w:val="24"/>
          <w:lang w:val="sr-Cyrl-CS"/>
        </w:rPr>
        <w:t xml:space="preserve">реформе јавне управе у Републици Србији за период од 2021. до 2030. године </w:t>
      </w:r>
      <w:r w:rsidR="0060037D" w:rsidRPr="004831AB">
        <w:rPr>
          <w:rFonts w:ascii="Times New Roman" w:eastAsia="Calibri" w:hAnsi="Times New Roman" w:cs="Times New Roman"/>
          <w:sz w:val="24"/>
          <w:szCs w:val="24"/>
          <w:lang w:val="sr-Cyrl-CS"/>
        </w:rPr>
        <w:t>(</w:t>
      </w:r>
      <w:r w:rsidR="00C35722" w:rsidRPr="004831AB">
        <w:rPr>
          <w:rFonts w:ascii="Times New Roman" w:eastAsia="Calibri" w:hAnsi="Times New Roman" w:cs="Times New Roman"/>
          <w:sz w:val="24"/>
          <w:szCs w:val="24"/>
          <w:lang w:val="sr-Cyrl-CS"/>
        </w:rPr>
        <w:t>„</w:t>
      </w:r>
      <w:r w:rsidR="0060037D" w:rsidRPr="004831AB">
        <w:rPr>
          <w:rFonts w:ascii="Times New Roman" w:eastAsia="Calibri" w:hAnsi="Times New Roman" w:cs="Times New Roman"/>
          <w:sz w:val="24"/>
          <w:szCs w:val="24"/>
          <w:lang w:val="sr-Cyrl-CS"/>
        </w:rPr>
        <w:t>Службени гласник РС</w:t>
      </w:r>
      <w:r w:rsidR="00C35722" w:rsidRPr="004831AB">
        <w:rPr>
          <w:rFonts w:ascii="Times New Roman" w:eastAsia="Calibri" w:hAnsi="Times New Roman" w:cs="Times New Roman"/>
          <w:sz w:val="24"/>
          <w:szCs w:val="24"/>
          <w:lang w:val="sr-Cyrl-CS"/>
        </w:rPr>
        <w:t>”</w:t>
      </w:r>
      <w:r w:rsidR="0060037D"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903A05" w:rsidRPr="004831AB">
        <w:rPr>
          <w:rFonts w:ascii="Times New Roman" w:eastAsia="Calibri" w:hAnsi="Times New Roman" w:cs="Times New Roman"/>
          <w:sz w:val="24"/>
          <w:szCs w:val="24"/>
          <w:lang w:val="sr-Cyrl-CS"/>
        </w:rPr>
        <w:t xml:space="preserve"> 42/</w:t>
      </w:r>
      <w:r w:rsidR="0060037D" w:rsidRPr="004831AB">
        <w:rPr>
          <w:rFonts w:ascii="Times New Roman" w:eastAsia="Calibri" w:hAnsi="Times New Roman" w:cs="Times New Roman"/>
          <w:sz w:val="24"/>
          <w:szCs w:val="24"/>
          <w:lang w:val="sr-Cyrl-CS"/>
        </w:rPr>
        <w:t>22)</w:t>
      </w:r>
      <w:r w:rsidR="007B3039" w:rsidRPr="004831AB">
        <w:rPr>
          <w:rFonts w:ascii="Times New Roman" w:eastAsia="Calibri" w:hAnsi="Times New Roman" w:cs="Times New Roman"/>
          <w:sz w:val="24"/>
          <w:szCs w:val="24"/>
          <w:lang w:val="sr-Cyrl-CS"/>
        </w:rPr>
        <w:t xml:space="preserve"> кроз посебан циљ 5. Јавна управа на ефикасан и иновативан начин пружа услуге које одговарају на потребе крајњих корисника и унапређују њихово корисничко искуство</w:t>
      </w:r>
      <w:r w:rsidRPr="004831AB">
        <w:rPr>
          <w:rFonts w:ascii="Times New Roman" w:eastAsia="Calibri" w:hAnsi="Times New Roman" w:cs="Times New Roman"/>
          <w:sz w:val="24"/>
          <w:szCs w:val="24"/>
          <w:lang w:val="sr-Cyrl-CS"/>
        </w:rPr>
        <w:t>,</w:t>
      </w:r>
      <w:r w:rsidR="007B3039" w:rsidRPr="004831AB">
        <w:rPr>
          <w:rFonts w:ascii="Times New Roman" w:eastAsia="Calibri" w:hAnsi="Times New Roman" w:cs="Times New Roman"/>
          <w:sz w:val="24"/>
          <w:szCs w:val="24"/>
          <w:lang w:val="sr-Cyrl-CS"/>
        </w:rPr>
        <w:t xml:space="preserve"> </w:t>
      </w:r>
      <w:r w:rsidR="00833AB1" w:rsidRPr="004831AB">
        <w:rPr>
          <w:rFonts w:ascii="Times New Roman" w:eastAsia="Calibri" w:hAnsi="Times New Roman" w:cs="Times New Roman"/>
          <w:sz w:val="24"/>
          <w:szCs w:val="24"/>
          <w:lang w:val="sr-Cyrl-CS"/>
        </w:rPr>
        <w:t xml:space="preserve">и усмерена је на </w:t>
      </w:r>
      <w:r w:rsidR="007B3039" w:rsidRPr="004831AB">
        <w:rPr>
          <w:rFonts w:ascii="Times New Roman" w:eastAsia="Calibri" w:hAnsi="Times New Roman" w:cs="Times New Roman"/>
          <w:sz w:val="24"/>
          <w:szCs w:val="24"/>
          <w:lang w:val="sr-Cyrl-CS"/>
        </w:rPr>
        <w:t>развој и унапређење кориснички оријентисаних услуга кроз унапређење процеса развоја и оптимизације постојећих услуга, као и унапређење њиховог квалитета.</w:t>
      </w:r>
    </w:p>
    <w:p w14:paraId="50A5D672" w14:textId="2F9E5EE6" w:rsidR="00E07095"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Програм развоја јавних </w:t>
      </w:r>
      <w:r w:rsidR="00640CAE" w:rsidRPr="004831AB">
        <w:rPr>
          <w:rFonts w:ascii="Times New Roman" w:eastAsia="Calibri" w:hAnsi="Times New Roman" w:cs="Times New Roman"/>
          <w:bCs/>
          <w:sz w:val="24"/>
          <w:szCs w:val="24"/>
          <w:lang w:val="sr-Cyrl-CS"/>
        </w:rPr>
        <w:t xml:space="preserve">набавки </w:t>
      </w:r>
      <w:r w:rsidRPr="004831AB">
        <w:rPr>
          <w:rFonts w:ascii="Times New Roman" w:eastAsia="Calibri" w:hAnsi="Times New Roman" w:cs="Times New Roman"/>
          <w:bCs/>
          <w:sz w:val="24"/>
          <w:szCs w:val="24"/>
          <w:lang w:val="sr-Cyrl-CS"/>
        </w:rPr>
        <w:t>у Републици Србији за период 2019-2023. године</w:t>
      </w:r>
      <w:r w:rsidR="00903A05" w:rsidRPr="004831AB">
        <w:rPr>
          <w:rFonts w:ascii="Times New Roman" w:eastAsia="Calibri" w:hAnsi="Times New Roman" w:cs="Times New Roman"/>
          <w:sz w:val="24"/>
          <w:szCs w:val="24"/>
          <w:lang w:val="sr-Cyrl-CS"/>
        </w:rPr>
        <w:t xml:space="preserve"> („Службени</w:t>
      </w:r>
      <w:r w:rsidRPr="004831AB">
        <w:rPr>
          <w:rFonts w:ascii="Times New Roman" w:eastAsia="Calibri" w:hAnsi="Times New Roman" w:cs="Times New Roman"/>
          <w:sz w:val="24"/>
          <w:szCs w:val="24"/>
          <w:lang w:val="sr-Cyrl-CS"/>
        </w:rPr>
        <w:t xml:space="preserve"> 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903A05" w:rsidRPr="004831AB">
        <w:rPr>
          <w:rFonts w:ascii="Times New Roman" w:eastAsia="Calibri" w:hAnsi="Times New Roman" w:cs="Times New Roman"/>
          <w:sz w:val="24"/>
          <w:szCs w:val="24"/>
          <w:lang w:val="sr-Cyrl-CS"/>
        </w:rPr>
        <w:t xml:space="preserve"> 82/</w:t>
      </w:r>
      <w:r w:rsidRPr="004831AB">
        <w:rPr>
          <w:rFonts w:ascii="Times New Roman" w:eastAsia="Calibri" w:hAnsi="Times New Roman" w:cs="Times New Roman"/>
          <w:sz w:val="24"/>
          <w:szCs w:val="24"/>
          <w:lang w:val="sr-Cyrl-CS"/>
        </w:rPr>
        <w:t>19), предвиђа одређене новине које имају за циљ</w:t>
      </w:r>
      <w:r w:rsidR="00833AB1"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и</w:t>
      </w:r>
      <w:r w:rsidR="003418FA" w:rsidRPr="004831AB">
        <w:rPr>
          <w:rFonts w:ascii="Times New Roman" w:eastAsia="Calibri" w:hAnsi="Times New Roman" w:cs="Times New Roman"/>
          <w:sz w:val="24"/>
          <w:szCs w:val="24"/>
          <w:lang w:val="sr-Cyrl-CS"/>
        </w:rPr>
        <w:t>змеђу осталог,</w:t>
      </w:r>
      <w:r w:rsidRPr="004831AB">
        <w:rPr>
          <w:rFonts w:ascii="Times New Roman" w:eastAsia="Calibri" w:hAnsi="Times New Roman" w:cs="Times New Roman"/>
          <w:sz w:val="24"/>
          <w:szCs w:val="24"/>
          <w:lang w:val="sr-Cyrl-CS"/>
        </w:rPr>
        <w:t xml:space="preserve"> олакшавање учешћа у поступцима јавних набавки, а што је од посебног значаја за мала и средња предузећа. Побољшању праћења нивоа учешћа малих и средњих предузећа у јавним набавкама допринеће и увођење обавезе уношења података о додели уговора таквим предузећима у склопу обавештења о додели уговора. </w:t>
      </w:r>
    </w:p>
    <w:p w14:paraId="0520AF35" w14:textId="4D50742E" w:rsidR="00DA0AF2" w:rsidRPr="004831AB" w:rsidRDefault="00E07095" w:rsidP="00E47DB3">
      <w:pPr>
        <w:spacing w:after="120"/>
        <w:ind w:firstLine="714"/>
        <w:jc w:val="both"/>
        <w:rPr>
          <w:rFonts w:ascii="Times New Roman" w:eastAsia="Calibri" w:hAnsi="Times New Roman" w:cs="Times New Roman"/>
          <w:sz w:val="24"/>
          <w:szCs w:val="24"/>
          <w:lang w:val="sr-Cyrl-CS"/>
        </w:rPr>
      </w:pPr>
      <w:r w:rsidRPr="004831AB">
        <w:rPr>
          <w:rFonts w:ascii="Times New Roman" w:eastAsia="Calibri" w:hAnsi="Times New Roman" w:cs="Times New Roman"/>
          <w:bCs/>
          <w:sz w:val="24"/>
          <w:szCs w:val="24"/>
          <w:lang w:val="sr-Cyrl-CS"/>
        </w:rPr>
        <w:t xml:space="preserve">Програм унапређења управљања јавним политикама и регулаторном реформом са </w:t>
      </w:r>
      <w:r w:rsidR="003418FA" w:rsidRPr="004831AB">
        <w:rPr>
          <w:rFonts w:ascii="Times New Roman" w:eastAsia="Calibri" w:hAnsi="Times New Roman" w:cs="Times New Roman"/>
          <w:bCs/>
          <w:sz w:val="24"/>
          <w:szCs w:val="24"/>
          <w:lang w:val="sr-Cyrl-CS"/>
        </w:rPr>
        <w:t xml:space="preserve">Акционим </w:t>
      </w:r>
      <w:r w:rsidRPr="004831AB">
        <w:rPr>
          <w:rFonts w:ascii="Times New Roman" w:eastAsia="Calibri" w:hAnsi="Times New Roman" w:cs="Times New Roman"/>
          <w:bCs/>
          <w:sz w:val="24"/>
          <w:szCs w:val="24"/>
          <w:lang w:val="sr-Cyrl-CS"/>
        </w:rPr>
        <w:t>планом за период 2021-2025</w:t>
      </w:r>
      <w:r w:rsidR="00903A05" w:rsidRPr="004831AB">
        <w:rPr>
          <w:rFonts w:ascii="Times New Roman" w:eastAsia="Calibri" w:hAnsi="Times New Roman" w:cs="Times New Roman"/>
          <w:sz w:val="24"/>
          <w:szCs w:val="24"/>
          <w:lang w:val="sr-Cyrl-CS"/>
        </w:rPr>
        <w:t xml:space="preserve"> („Службени </w:t>
      </w:r>
      <w:r w:rsidRPr="004831AB">
        <w:rPr>
          <w:rFonts w:ascii="Times New Roman" w:eastAsia="Calibri" w:hAnsi="Times New Roman" w:cs="Times New Roman"/>
          <w:sz w:val="24"/>
          <w:szCs w:val="24"/>
          <w:lang w:val="sr-Cyrl-CS"/>
        </w:rPr>
        <w:t>гласник РС</w:t>
      </w:r>
      <w:r w:rsidR="007E5D5C"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бр</w:t>
      </w:r>
      <w:r w:rsidR="00541D2B" w:rsidRPr="004831AB">
        <w:rPr>
          <w:rFonts w:ascii="Times New Roman" w:eastAsia="Calibri" w:hAnsi="Times New Roman" w:cs="Times New Roman"/>
          <w:sz w:val="24"/>
          <w:szCs w:val="24"/>
          <w:lang w:val="sr-Cyrl-CS"/>
        </w:rPr>
        <w:t>ој</w:t>
      </w:r>
      <w:r w:rsidR="00903A05" w:rsidRPr="004831AB">
        <w:rPr>
          <w:rFonts w:ascii="Times New Roman" w:eastAsia="Calibri" w:hAnsi="Times New Roman" w:cs="Times New Roman"/>
          <w:sz w:val="24"/>
          <w:szCs w:val="24"/>
          <w:lang w:val="sr-Cyrl-CS"/>
        </w:rPr>
        <w:t xml:space="preserve"> 113/</w:t>
      </w:r>
      <w:r w:rsidRPr="004831AB">
        <w:rPr>
          <w:rFonts w:ascii="Times New Roman" w:eastAsia="Calibri" w:hAnsi="Times New Roman" w:cs="Times New Roman"/>
          <w:sz w:val="24"/>
          <w:szCs w:val="24"/>
          <w:lang w:val="sr-Cyrl-CS"/>
        </w:rPr>
        <w:t xml:space="preserve">21), предвиђа  меру унапређења пословног окружења и смањења административних трошкова за привреду и грађане кроз употребу алата анализе ефеката </w:t>
      </w:r>
      <w:r w:rsidR="00B13766" w:rsidRPr="004831AB">
        <w:rPr>
          <w:rFonts w:ascii="Times New Roman" w:eastAsia="Calibri" w:hAnsi="Times New Roman" w:cs="Times New Roman"/>
          <w:sz w:val="24"/>
          <w:szCs w:val="24"/>
          <w:lang w:val="sr-Cyrl-CS"/>
        </w:rPr>
        <w:t xml:space="preserve">прописа </w:t>
      </w:r>
      <w:r w:rsidRPr="004831AB">
        <w:rPr>
          <w:rFonts w:ascii="Times New Roman" w:eastAsia="Calibri" w:hAnsi="Times New Roman" w:cs="Times New Roman"/>
          <w:sz w:val="24"/>
          <w:szCs w:val="24"/>
          <w:lang w:val="sr-Cyrl-CS"/>
        </w:rPr>
        <w:t>(</w:t>
      </w:r>
      <w:r w:rsidR="004850DF" w:rsidRPr="004831AB">
        <w:rPr>
          <w:rFonts w:ascii="Times New Roman" w:eastAsia="Calibri" w:hAnsi="Times New Roman" w:cs="Times New Roman"/>
          <w:sz w:val="24"/>
          <w:szCs w:val="24"/>
          <w:lang w:val="sr-Cyrl-CS"/>
        </w:rPr>
        <w:t>М</w:t>
      </w:r>
      <w:r w:rsidRPr="004831AB">
        <w:rPr>
          <w:rFonts w:ascii="Times New Roman" w:eastAsia="Calibri" w:hAnsi="Times New Roman" w:cs="Times New Roman"/>
          <w:bCs/>
          <w:sz w:val="24"/>
          <w:szCs w:val="24"/>
          <w:lang w:val="sr-Cyrl-CS"/>
        </w:rPr>
        <w:t>МСП тест</w:t>
      </w:r>
      <w:r w:rsidR="006D62E4" w:rsidRPr="004831AB">
        <w:rPr>
          <w:rFonts w:ascii="Times New Roman" w:eastAsia="Calibri" w:hAnsi="Times New Roman" w:cs="Times New Roman"/>
          <w:bCs/>
          <w:sz w:val="24"/>
          <w:szCs w:val="24"/>
          <w:lang w:val="sr-Cyrl-CS"/>
        </w:rPr>
        <w:t>,</w:t>
      </w:r>
      <w:r w:rsidRPr="004831AB">
        <w:rPr>
          <w:rFonts w:ascii="Times New Roman" w:eastAsia="Calibri" w:hAnsi="Times New Roman" w:cs="Times New Roman"/>
          <w:sz w:val="24"/>
          <w:szCs w:val="24"/>
          <w:lang w:val="sr-Cyrl-CS"/>
        </w:rPr>
        <w:t xml:space="preserve"> калкулатор административног трошка и контролна листа ефеката прописа на конкуренцију). Мера подразумева редефинисање обавезе примене ових тестова и калкулација, како би се прецизно приказао начин представљања резултата примене датих алата у оквиру извештаја о анализи ефеката прописа</w:t>
      </w:r>
      <w:r w:rsidR="00903A05"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и то за прописе који имају ефекат на микро, мале и средње привредне субјекте и конкуренцију.</w:t>
      </w:r>
    </w:p>
    <w:p w14:paraId="51EE24EC" w14:textId="21E0686E" w:rsidR="001E71E7" w:rsidRPr="004831AB" w:rsidRDefault="001337FD" w:rsidP="00E47DB3">
      <w:pPr>
        <w:spacing w:after="120"/>
        <w:ind w:firstLine="714"/>
        <w:jc w:val="both"/>
        <w:rPr>
          <w:rFonts w:ascii="Times New Roman" w:hAnsi="Times New Roman"/>
          <w:sz w:val="24"/>
          <w:szCs w:val="24"/>
          <w:lang w:val="sr-Cyrl-CS"/>
        </w:rPr>
      </w:pPr>
      <w:r w:rsidRPr="004831AB">
        <w:rPr>
          <w:rFonts w:ascii="Times New Roman" w:hAnsi="Times New Roman"/>
          <w:sz w:val="24"/>
          <w:szCs w:val="24"/>
          <w:lang w:val="sr-Cyrl-CS"/>
        </w:rPr>
        <w:t xml:space="preserve">Имајући у виду да је политика МСПП вишедимензионална и мултисекторска, овом стратегијом </w:t>
      </w:r>
      <w:r w:rsidR="00FF61A4" w:rsidRPr="004831AB">
        <w:rPr>
          <w:rFonts w:ascii="Times New Roman" w:hAnsi="Times New Roman"/>
          <w:sz w:val="24"/>
          <w:szCs w:val="24"/>
          <w:lang w:val="sr-Cyrl-CS"/>
        </w:rPr>
        <w:t xml:space="preserve">дефинисани </w:t>
      </w:r>
      <w:r w:rsidRPr="004831AB">
        <w:rPr>
          <w:rFonts w:ascii="Times New Roman" w:hAnsi="Times New Roman"/>
          <w:sz w:val="24"/>
          <w:szCs w:val="24"/>
          <w:lang w:val="sr-Cyrl-CS"/>
        </w:rPr>
        <w:t>су циљеви и мере које могу бити предмет и других докумената јавне политике</w:t>
      </w:r>
      <w:r w:rsidRPr="004831AB">
        <w:rPr>
          <w:rStyle w:val="FootnoteReference"/>
          <w:rFonts w:ascii="Times New Roman" w:hAnsi="Times New Roman"/>
          <w:sz w:val="24"/>
          <w:szCs w:val="24"/>
          <w:lang w:val="sr-Cyrl-CS"/>
        </w:rPr>
        <w:footnoteReference w:id="12"/>
      </w:r>
      <w:r w:rsidRPr="004831AB">
        <w:rPr>
          <w:rFonts w:ascii="Times New Roman" w:hAnsi="Times New Roman"/>
          <w:sz w:val="24"/>
          <w:szCs w:val="24"/>
          <w:lang w:val="sr-Cyrl-CS"/>
        </w:rPr>
        <w:t xml:space="preserve">. </w:t>
      </w:r>
      <w:r w:rsidR="004A2037" w:rsidRPr="004831AB">
        <w:rPr>
          <w:rFonts w:ascii="Times New Roman" w:hAnsi="Times New Roman"/>
          <w:sz w:val="24"/>
          <w:szCs w:val="24"/>
          <w:lang w:val="sr-Cyrl-CS"/>
        </w:rPr>
        <w:t xml:space="preserve">У циљу рационализације у систему јавних политика и ефективнијег и ефикасније управљања њеним спровођењем, </w:t>
      </w:r>
      <w:r w:rsidRPr="004831AB">
        <w:rPr>
          <w:rFonts w:ascii="Times New Roman" w:hAnsi="Times New Roman"/>
          <w:sz w:val="24"/>
          <w:szCs w:val="24"/>
          <w:lang w:val="sr-Cyrl-CS"/>
        </w:rPr>
        <w:t>једно од начела које је поштовано при изради ове стратегије</w:t>
      </w:r>
      <w:r w:rsidR="001E71E7" w:rsidRPr="004831AB">
        <w:rPr>
          <w:rFonts w:ascii="Times New Roman" w:hAnsi="Times New Roman"/>
          <w:sz w:val="24"/>
          <w:szCs w:val="24"/>
          <w:lang w:val="sr-Cyrl-CS"/>
        </w:rPr>
        <w:t xml:space="preserve"> и акционог плана</w:t>
      </w:r>
      <w:r w:rsidRPr="004831AB">
        <w:rPr>
          <w:rFonts w:ascii="Times New Roman" w:hAnsi="Times New Roman"/>
          <w:sz w:val="24"/>
          <w:szCs w:val="24"/>
          <w:lang w:val="sr-Cyrl-CS"/>
        </w:rPr>
        <w:t xml:space="preserve"> било </w:t>
      </w:r>
      <w:r w:rsidR="004A2037" w:rsidRPr="004831AB">
        <w:rPr>
          <w:rFonts w:ascii="Times New Roman" w:hAnsi="Times New Roman"/>
          <w:sz w:val="24"/>
          <w:szCs w:val="24"/>
          <w:lang w:val="sr-Cyrl-CS"/>
        </w:rPr>
        <w:t xml:space="preserve">је </w:t>
      </w:r>
      <w:r w:rsidRPr="004831AB">
        <w:rPr>
          <w:rFonts w:ascii="Times New Roman" w:hAnsi="Times New Roman"/>
          <w:sz w:val="24"/>
          <w:szCs w:val="24"/>
          <w:lang w:val="sr-Cyrl-CS"/>
        </w:rPr>
        <w:t xml:space="preserve">да се  не  понављају мере и активности већ предвиђене другим </w:t>
      </w:r>
      <w:r w:rsidRPr="004831AB">
        <w:rPr>
          <w:rFonts w:ascii="Times New Roman" w:hAnsi="Times New Roman"/>
          <w:sz w:val="24"/>
          <w:szCs w:val="24"/>
          <w:lang w:val="sr-Cyrl-CS"/>
        </w:rPr>
        <w:lastRenderedPageBreak/>
        <w:t>документ</w:t>
      </w:r>
      <w:r w:rsidR="00936D4F" w:rsidRPr="004831AB">
        <w:rPr>
          <w:rFonts w:ascii="Times New Roman" w:hAnsi="Times New Roman"/>
          <w:sz w:val="24"/>
          <w:szCs w:val="24"/>
          <w:lang w:val="sr-Cyrl-CS"/>
        </w:rPr>
        <w:t>има</w:t>
      </w:r>
      <w:r w:rsidRPr="004831AB">
        <w:rPr>
          <w:rFonts w:ascii="Times New Roman" w:hAnsi="Times New Roman"/>
          <w:sz w:val="24"/>
          <w:szCs w:val="24"/>
          <w:lang w:val="sr-Cyrl-CS"/>
        </w:rPr>
        <w:t xml:space="preserve"> јавн</w:t>
      </w:r>
      <w:r w:rsidR="001E71E7" w:rsidRPr="004831AB">
        <w:rPr>
          <w:rFonts w:ascii="Times New Roman" w:hAnsi="Times New Roman"/>
          <w:sz w:val="24"/>
          <w:szCs w:val="24"/>
          <w:lang w:val="sr-Cyrl-CS"/>
        </w:rPr>
        <w:t>их</w:t>
      </w:r>
      <w:r w:rsidRPr="004831AB">
        <w:rPr>
          <w:rFonts w:ascii="Times New Roman" w:hAnsi="Times New Roman"/>
          <w:sz w:val="24"/>
          <w:szCs w:val="24"/>
          <w:lang w:val="sr-Cyrl-CS"/>
        </w:rPr>
        <w:t xml:space="preserve"> политик</w:t>
      </w:r>
      <w:r w:rsidR="001E71E7" w:rsidRPr="004831AB">
        <w:rPr>
          <w:rFonts w:ascii="Times New Roman" w:hAnsi="Times New Roman"/>
          <w:sz w:val="24"/>
          <w:szCs w:val="24"/>
          <w:lang w:val="sr-Cyrl-CS"/>
        </w:rPr>
        <w:t>а</w:t>
      </w:r>
      <w:r w:rsidRPr="004831AB">
        <w:rPr>
          <w:rFonts w:ascii="Times New Roman" w:hAnsi="Times New Roman"/>
          <w:sz w:val="24"/>
          <w:szCs w:val="24"/>
          <w:lang w:val="sr-Cyrl-CS"/>
        </w:rPr>
        <w:t>,</w:t>
      </w:r>
      <w:r w:rsidR="00FF61A4" w:rsidRPr="004831AB">
        <w:rPr>
          <w:rFonts w:ascii="Times New Roman" w:hAnsi="Times New Roman"/>
          <w:sz w:val="24"/>
          <w:szCs w:val="24"/>
          <w:lang w:val="sr-Cyrl-CS"/>
        </w:rPr>
        <w:t xml:space="preserve"> чије ће остварење допринети реализацији циљева и ове стратегије, већ да се</w:t>
      </w:r>
      <w:r w:rsidR="001E71E7" w:rsidRPr="004831AB">
        <w:rPr>
          <w:rFonts w:ascii="Times New Roman" w:hAnsi="Times New Roman"/>
          <w:sz w:val="24"/>
          <w:szCs w:val="24"/>
          <w:lang w:val="sr-Cyrl-CS"/>
        </w:rPr>
        <w:t xml:space="preserve"> у таквим областима</w:t>
      </w:r>
      <w:r w:rsidR="00FF61A4" w:rsidRPr="004831AB">
        <w:rPr>
          <w:rFonts w:ascii="Times New Roman" w:hAnsi="Times New Roman"/>
          <w:sz w:val="24"/>
          <w:szCs w:val="24"/>
          <w:lang w:val="sr-Cyrl-CS"/>
        </w:rPr>
        <w:t xml:space="preserve"> предвиде само додатне мере, специфично усмерене на МСПП</w:t>
      </w:r>
      <w:r w:rsidR="001E71E7" w:rsidRPr="004831AB">
        <w:rPr>
          <w:rFonts w:ascii="Times New Roman" w:hAnsi="Times New Roman"/>
          <w:sz w:val="24"/>
          <w:szCs w:val="24"/>
          <w:lang w:val="sr-Cyrl-CS"/>
        </w:rPr>
        <w:t>, са два изузетка</w:t>
      </w:r>
      <w:r w:rsidR="00954750" w:rsidRPr="004831AB">
        <w:rPr>
          <w:rFonts w:ascii="Times New Roman" w:hAnsi="Times New Roman"/>
          <w:sz w:val="24"/>
          <w:szCs w:val="24"/>
          <w:lang w:val="sr-Cyrl-CS"/>
        </w:rPr>
        <w:t>:</w:t>
      </w:r>
    </w:p>
    <w:p w14:paraId="380B5311" w14:textId="4FF0E2B8" w:rsidR="001E71E7" w:rsidRPr="004831AB" w:rsidRDefault="001E71E7" w:rsidP="003B16CC">
      <w:pPr>
        <w:spacing w:after="120"/>
        <w:ind w:firstLine="714"/>
        <w:jc w:val="both"/>
        <w:rPr>
          <w:rFonts w:ascii="Times New Roman" w:hAnsi="Times New Roman"/>
          <w:sz w:val="24"/>
          <w:szCs w:val="24"/>
          <w:lang w:val="sr-Cyrl-CS"/>
        </w:rPr>
      </w:pPr>
      <w:r w:rsidRPr="004831AB">
        <w:rPr>
          <w:rFonts w:ascii="Times New Roman" w:hAnsi="Times New Roman"/>
          <w:sz w:val="24"/>
          <w:szCs w:val="24"/>
          <w:lang w:val="sr-Cyrl-CS"/>
        </w:rPr>
        <w:t>1</w:t>
      </w:r>
      <w:r w:rsidR="00693454" w:rsidRPr="004831AB">
        <w:rPr>
          <w:rFonts w:ascii="Times New Roman" w:hAnsi="Times New Roman"/>
          <w:sz w:val="24"/>
          <w:szCs w:val="24"/>
          <w:lang w:val="sr-Cyrl-CS"/>
        </w:rPr>
        <w:t>.</w:t>
      </w:r>
      <w:r w:rsidRPr="004831AB">
        <w:rPr>
          <w:rFonts w:ascii="Times New Roman" w:hAnsi="Times New Roman"/>
          <w:sz w:val="24"/>
          <w:szCs w:val="24"/>
          <w:lang w:val="sr-Cyrl-CS"/>
        </w:rPr>
        <w:t xml:space="preserve"> </w:t>
      </w:r>
      <w:r w:rsidR="001337FD" w:rsidRPr="004831AB">
        <w:rPr>
          <w:rFonts w:ascii="Times New Roman" w:hAnsi="Times New Roman"/>
          <w:sz w:val="24"/>
          <w:szCs w:val="24"/>
          <w:lang w:val="sr-Cyrl-CS"/>
        </w:rPr>
        <w:t>активности</w:t>
      </w:r>
      <w:r w:rsidR="00444288" w:rsidRPr="004831AB">
        <w:rPr>
          <w:rFonts w:ascii="Times New Roman" w:hAnsi="Times New Roman"/>
          <w:sz w:val="24"/>
          <w:szCs w:val="24"/>
          <w:lang w:val="sr-Cyrl-CS"/>
        </w:rPr>
        <w:t xml:space="preserve"> </w:t>
      </w:r>
      <w:r w:rsidRPr="004831AB">
        <w:rPr>
          <w:rFonts w:ascii="Times New Roman" w:hAnsi="Times New Roman"/>
          <w:sz w:val="24"/>
          <w:szCs w:val="24"/>
          <w:lang w:val="sr-Cyrl-CS"/>
        </w:rPr>
        <w:t xml:space="preserve">директне финансијске и нефинансијске подршке МСПП, које спроводи министарство надлежно за област привреде са партнерима и </w:t>
      </w:r>
      <w:r w:rsidR="00444288" w:rsidRPr="004831AB">
        <w:rPr>
          <w:rFonts w:ascii="Times New Roman" w:hAnsi="Times New Roman"/>
          <w:sz w:val="24"/>
          <w:szCs w:val="24"/>
          <w:lang w:val="sr-Cyrl-CS"/>
        </w:rPr>
        <w:t xml:space="preserve">које су </w:t>
      </w:r>
      <w:r w:rsidRPr="004831AB">
        <w:rPr>
          <w:rFonts w:ascii="Times New Roman" w:hAnsi="Times New Roman"/>
          <w:sz w:val="24"/>
          <w:szCs w:val="24"/>
          <w:lang w:val="sr-Cyrl-CS"/>
        </w:rPr>
        <w:t>увршћене</w:t>
      </w:r>
      <w:r w:rsidR="00444288" w:rsidRPr="004831AB">
        <w:rPr>
          <w:rFonts w:ascii="Times New Roman" w:hAnsi="Times New Roman"/>
          <w:sz w:val="24"/>
          <w:szCs w:val="24"/>
          <w:lang w:val="sr-Cyrl-CS"/>
        </w:rPr>
        <w:t xml:space="preserve"> </w:t>
      </w:r>
      <w:r w:rsidRPr="004831AB">
        <w:rPr>
          <w:rFonts w:ascii="Times New Roman" w:hAnsi="Times New Roman"/>
          <w:sz w:val="24"/>
          <w:szCs w:val="24"/>
          <w:lang w:val="sr-Cyrl-CS"/>
        </w:rPr>
        <w:t>у документа јавних политика у другим областима јер доприносе остваривању и њихових циљева, иако</w:t>
      </w:r>
      <w:r w:rsidR="00FF61A4" w:rsidRPr="004831AB">
        <w:rPr>
          <w:rFonts w:ascii="Times New Roman" w:hAnsi="Times New Roman"/>
          <w:sz w:val="24"/>
          <w:szCs w:val="24"/>
          <w:lang w:val="sr-Cyrl-CS"/>
        </w:rPr>
        <w:t xml:space="preserve"> </w:t>
      </w:r>
      <w:r w:rsidRPr="004831AB">
        <w:rPr>
          <w:rFonts w:ascii="Times New Roman" w:hAnsi="Times New Roman"/>
          <w:sz w:val="24"/>
          <w:szCs w:val="24"/>
          <w:lang w:val="sr-Cyrl-CS"/>
        </w:rPr>
        <w:t>суштински</w:t>
      </w:r>
      <w:r w:rsidR="00FF61A4" w:rsidRPr="004831AB">
        <w:rPr>
          <w:rFonts w:ascii="Times New Roman" w:hAnsi="Times New Roman"/>
          <w:sz w:val="24"/>
          <w:szCs w:val="24"/>
          <w:lang w:val="sr-Cyrl-CS"/>
        </w:rPr>
        <w:t xml:space="preserve"> представљају инструменте полит</w:t>
      </w:r>
      <w:r w:rsidR="004831AB">
        <w:rPr>
          <w:rFonts w:ascii="Times New Roman" w:hAnsi="Times New Roman"/>
          <w:sz w:val="24"/>
          <w:szCs w:val="24"/>
          <w:lang w:val="sr-Cyrl-CS"/>
        </w:rPr>
        <w:t>и</w:t>
      </w:r>
      <w:r w:rsidR="00FF61A4" w:rsidRPr="004831AB">
        <w:rPr>
          <w:rFonts w:ascii="Times New Roman" w:hAnsi="Times New Roman"/>
          <w:sz w:val="24"/>
          <w:szCs w:val="24"/>
          <w:lang w:val="sr-Cyrl-CS"/>
        </w:rPr>
        <w:t>ке</w:t>
      </w:r>
      <w:r w:rsidRPr="004831AB">
        <w:rPr>
          <w:rFonts w:ascii="Times New Roman" w:hAnsi="Times New Roman"/>
          <w:sz w:val="24"/>
          <w:szCs w:val="24"/>
          <w:lang w:val="sr-Cyrl-CS"/>
        </w:rPr>
        <w:t xml:space="preserve"> развоја предузетништва</w:t>
      </w:r>
      <w:r w:rsidR="003D1E29">
        <w:rPr>
          <w:rFonts w:ascii="Times New Roman" w:hAnsi="Times New Roman"/>
          <w:sz w:val="24"/>
          <w:szCs w:val="24"/>
          <w:lang w:val="sr-Cyrl-CS"/>
        </w:rPr>
        <w:t>;</w:t>
      </w:r>
    </w:p>
    <w:p w14:paraId="02ACC75D" w14:textId="171778B8" w:rsidR="001337FD" w:rsidRPr="004831AB" w:rsidRDefault="001E71E7" w:rsidP="00C16005">
      <w:pPr>
        <w:spacing w:after="120"/>
        <w:ind w:firstLine="714"/>
        <w:jc w:val="both"/>
        <w:rPr>
          <w:rFonts w:ascii="Times New Roman" w:eastAsia="Calibri" w:hAnsi="Times New Roman" w:cs="Times New Roman"/>
          <w:sz w:val="24"/>
          <w:szCs w:val="24"/>
          <w:lang w:val="sr-Cyrl-CS"/>
        </w:rPr>
      </w:pPr>
      <w:r w:rsidRPr="004831AB">
        <w:rPr>
          <w:rFonts w:ascii="Times New Roman" w:hAnsi="Times New Roman"/>
          <w:sz w:val="24"/>
          <w:szCs w:val="24"/>
          <w:lang w:val="sr-Cyrl-CS"/>
        </w:rPr>
        <w:t>2.</w:t>
      </w:r>
      <w:r w:rsidR="00FF61A4" w:rsidRPr="004831AB">
        <w:rPr>
          <w:rFonts w:ascii="Times New Roman" w:hAnsi="Times New Roman"/>
          <w:sz w:val="24"/>
          <w:szCs w:val="24"/>
          <w:lang w:val="sr-Cyrl-CS"/>
        </w:rPr>
        <w:t xml:space="preserve"> активности</w:t>
      </w:r>
      <w:r w:rsidR="001337FD" w:rsidRPr="004831AB">
        <w:rPr>
          <w:rFonts w:ascii="Times New Roman" w:hAnsi="Times New Roman"/>
          <w:sz w:val="24"/>
          <w:szCs w:val="24"/>
          <w:lang w:val="sr-Cyrl-CS"/>
        </w:rPr>
        <w:t xml:space="preserve"> директн</w:t>
      </w:r>
      <w:r w:rsidR="00FF61A4" w:rsidRPr="004831AB">
        <w:rPr>
          <w:rFonts w:ascii="Times New Roman" w:hAnsi="Times New Roman"/>
          <w:sz w:val="24"/>
          <w:szCs w:val="24"/>
          <w:lang w:val="sr-Cyrl-CS"/>
        </w:rPr>
        <w:t>е</w:t>
      </w:r>
      <w:r w:rsidR="001337FD" w:rsidRPr="004831AB">
        <w:rPr>
          <w:rFonts w:ascii="Times New Roman" w:hAnsi="Times New Roman"/>
          <w:sz w:val="24"/>
          <w:szCs w:val="24"/>
          <w:lang w:val="sr-Cyrl-CS"/>
        </w:rPr>
        <w:t xml:space="preserve"> финансијск</w:t>
      </w:r>
      <w:r w:rsidR="00936D4F" w:rsidRPr="004831AB">
        <w:rPr>
          <w:rFonts w:ascii="Times New Roman" w:hAnsi="Times New Roman"/>
          <w:sz w:val="24"/>
          <w:szCs w:val="24"/>
          <w:lang w:val="sr-Cyrl-CS"/>
        </w:rPr>
        <w:t>е</w:t>
      </w:r>
      <w:r w:rsidR="001337FD" w:rsidRPr="004831AB">
        <w:rPr>
          <w:rFonts w:ascii="Times New Roman" w:hAnsi="Times New Roman"/>
          <w:sz w:val="24"/>
          <w:szCs w:val="24"/>
          <w:lang w:val="sr-Cyrl-CS"/>
        </w:rPr>
        <w:t xml:space="preserve"> подршк</w:t>
      </w:r>
      <w:r w:rsidR="00FF61A4" w:rsidRPr="004831AB">
        <w:rPr>
          <w:rFonts w:ascii="Times New Roman" w:hAnsi="Times New Roman"/>
          <w:sz w:val="24"/>
          <w:szCs w:val="24"/>
          <w:lang w:val="sr-Cyrl-CS"/>
        </w:rPr>
        <w:t>е</w:t>
      </w:r>
      <w:r w:rsidR="001337FD" w:rsidRPr="004831AB">
        <w:rPr>
          <w:rFonts w:ascii="Times New Roman" w:hAnsi="Times New Roman"/>
          <w:sz w:val="24"/>
          <w:szCs w:val="24"/>
          <w:lang w:val="sr-Cyrl-CS"/>
        </w:rPr>
        <w:t xml:space="preserve"> </w:t>
      </w:r>
      <w:r w:rsidR="00FF61A4" w:rsidRPr="004831AB">
        <w:rPr>
          <w:rFonts w:ascii="Times New Roman" w:hAnsi="Times New Roman"/>
          <w:sz w:val="24"/>
          <w:szCs w:val="24"/>
          <w:lang w:val="sr-Cyrl-CS"/>
        </w:rPr>
        <w:t xml:space="preserve">чији су корисници </w:t>
      </w:r>
      <w:r w:rsidR="001337FD" w:rsidRPr="004831AB">
        <w:rPr>
          <w:rFonts w:ascii="Times New Roman" w:hAnsi="Times New Roman"/>
          <w:sz w:val="24"/>
          <w:szCs w:val="24"/>
          <w:lang w:val="sr-Cyrl-CS"/>
        </w:rPr>
        <w:t>МСПП</w:t>
      </w:r>
      <w:r w:rsidR="00FF61A4" w:rsidRPr="004831AB">
        <w:rPr>
          <w:rFonts w:ascii="Times New Roman" w:hAnsi="Times New Roman"/>
          <w:sz w:val="24"/>
          <w:szCs w:val="24"/>
          <w:lang w:val="sr-Cyrl-CS"/>
        </w:rPr>
        <w:t xml:space="preserve">, а реализују се у области јавних политика које се односе на иновације, </w:t>
      </w:r>
      <w:r w:rsidR="001337FD" w:rsidRPr="004831AB">
        <w:rPr>
          <w:rFonts w:ascii="Times New Roman" w:hAnsi="Times New Roman"/>
          <w:sz w:val="24"/>
          <w:szCs w:val="24"/>
          <w:lang w:val="sr-Cyrl-CS"/>
        </w:rPr>
        <w:t xml:space="preserve"> </w:t>
      </w:r>
      <w:r w:rsidR="00FF61A4" w:rsidRPr="004831AB">
        <w:rPr>
          <w:rFonts w:ascii="Times New Roman" w:hAnsi="Times New Roman"/>
          <w:sz w:val="24"/>
          <w:szCs w:val="24"/>
          <w:lang w:val="sr-Cyrl-CS"/>
        </w:rPr>
        <w:t>дигитализациј</w:t>
      </w:r>
      <w:r w:rsidR="00936D4F" w:rsidRPr="004831AB">
        <w:rPr>
          <w:rFonts w:ascii="Times New Roman" w:hAnsi="Times New Roman"/>
          <w:sz w:val="24"/>
          <w:szCs w:val="24"/>
          <w:lang w:val="sr-Cyrl-CS"/>
        </w:rPr>
        <w:t>у</w:t>
      </w:r>
      <w:r w:rsidR="00FF61A4" w:rsidRPr="004831AB">
        <w:rPr>
          <w:rFonts w:ascii="Times New Roman" w:hAnsi="Times New Roman"/>
          <w:sz w:val="24"/>
          <w:szCs w:val="24"/>
          <w:lang w:val="sr-Cyrl-CS"/>
        </w:rPr>
        <w:t xml:space="preserve"> и индустријск</w:t>
      </w:r>
      <w:r w:rsidR="00936D4F" w:rsidRPr="004831AB">
        <w:rPr>
          <w:rFonts w:ascii="Times New Roman" w:hAnsi="Times New Roman"/>
          <w:sz w:val="24"/>
          <w:szCs w:val="24"/>
          <w:lang w:val="sr-Cyrl-CS"/>
        </w:rPr>
        <w:t>у</w:t>
      </w:r>
      <w:r w:rsidR="00FF61A4" w:rsidRPr="004831AB">
        <w:rPr>
          <w:rFonts w:ascii="Times New Roman" w:hAnsi="Times New Roman"/>
          <w:sz w:val="24"/>
          <w:szCs w:val="24"/>
          <w:lang w:val="sr-Cyrl-CS"/>
        </w:rPr>
        <w:t xml:space="preserve"> политик</w:t>
      </w:r>
      <w:r w:rsidR="00936D4F" w:rsidRPr="004831AB">
        <w:rPr>
          <w:rFonts w:ascii="Times New Roman" w:hAnsi="Times New Roman"/>
          <w:sz w:val="24"/>
          <w:szCs w:val="24"/>
          <w:lang w:val="sr-Cyrl-CS"/>
        </w:rPr>
        <w:t>у</w:t>
      </w:r>
      <w:r w:rsidR="00693454" w:rsidRPr="004831AB">
        <w:rPr>
          <w:rFonts w:ascii="Times New Roman" w:hAnsi="Times New Roman"/>
          <w:sz w:val="24"/>
          <w:szCs w:val="24"/>
          <w:lang w:val="sr-Cyrl-CS"/>
        </w:rPr>
        <w:t>.</w:t>
      </w:r>
      <w:r w:rsidR="001337FD" w:rsidRPr="004831AB">
        <w:rPr>
          <w:rFonts w:ascii="Times New Roman" w:hAnsi="Times New Roman"/>
          <w:sz w:val="24"/>
          <w:szCs w:val="24"/>
          <w:lang w:val="sr-Cyrl-CS"/>
        </w:rPr>
        <w:t xml:space="preserve"> </w:t>
      </w:r>
    </w:p>
    <w:p w14:paraId="7A7EE25D" w14:textId="77777777" w:rsidR="00C16005" w:rsidRPr="004831AB" w:rsidRDefault="00C16005" w:rsidP="00C16005">
      <w:pPr>
        <w:spacing w:after="120"/>
        <w:ind w:firstLine="714"/>
        <w:jc w:val="both"/>
        <w:rPr>
          <w:rFonts w:ascii="Times New Roman" w:eastAsia="Calibri" w:hAnsi="Times New Roman" w:cs="Times New Roman"/>
          <w:sz w:val="24"/>
          <w:szCs w:val="24"/>
          <w:lang w:val="sr-Cyrl-CS"/>
        </w:rPr>
      </w:pPr>
    </w:p>
    <w:p w14:paraId="3968E1C0" w14:textId="685983C4" w:rsidR="003201C9" w:rsidRPr="004831AB" w:rsidRDefault="00954750" w:rsidP="003B16CC">
      <w:pPr>
        <w:spacing w:after="120" w:line="240" w:lineRule="auto"/>
        <w:jc w:val="center"/>
        <w:rPr>
          <w:rFonts w:ascii="Times New Roman" w:hAnsi="Times New Roman" w:cs="Times New Roman"/>
          <w:iCs/>
          <w:sz w:val="24"/>
          <w:szCs w:val="24"/>
          <w:lang w:val="sr-Cyrl-CS"/>
        </w:rPr>
      </w:pPr>
      <w:r w:rsidRPr="004831AB">
        <w:rPr>
          <w:rFonts w:ascii="Times New Roman" w:hAnsi="Times New Roman" w:cs="Times New Roman"/>
          <w:iCs/>
          <w:sz w:val="24"/>
          <w:szCs w:val="24"/>
          <w:lang w:val="sr-Cyrl-CS"/>
        </w:rPr>
        <w:t>Најважније</w:t>
      </w:r>
      <w:r w:rsidR="00AD3793" w:rsidRPr="004831AB">
        <w:rPr>
          <w:rFonts w:ascii="Times New Roman" w:hAnsi="Times New Roman" w:cs="Times New Roman"/>
          <w:iCs/>
          <w:sz w:val="24"/>
          <w:szCs w:val="24"/>
          <w:lang w:val="sr-Cyrl-CS"/>
        </w:rPr>
        <w:t xml:space="preserve"> међународн</w:t>
      </w:r>
      <w:r w:rsidRPr="004831AB">
        <w:rPr>
          <w:rFonts w:ascii="Times New Roman" w:hAnsi="Times New Roman" w:cs="Times New Roman"/>
          <w:iCs/>
          <w:sz w:val="24"/>
          <w:szCs w:val="24"/>
          <w:lang w:val="sr-Cyrl-CS"/>
        </w:rPr>
        <w:t>е</w:t>
      </w:r>
      <w:r w:rsidR="00AD3793" w:rsidRPr="004831AB">
        <w:rPr>
          <w:rFonts w:ascii="Times New Roman" w:hAnsi="Times New Roman" w:cs="Times New Roman"/>
          <w:iCs/>
          <w:sz w:val="24"/>
          <w:szCs w:val="24"/>
          <w:lang w:val="sr-Cyrl-CS"/>
        </w:rPr>
        <w:t xml:space="preserve"> и регионалн</w:t>
      </w:r>
      <w:r w:rsidRPr="004831AB">
        <w:rPr>
          <w:rFonts w:ascii="Times New Roman" w:hAnsi="Times New Roman" w:cs="Times New Roman"/>
          <w:iCs/>
          <w:sz w:val="24"/>
          <w:szCs w:val="24"/>
          <w:lang w:val="sr-Cyrl-CS"/>
        </w:rPr>
        <w:t>е</w:t>
      </w:r>
      <w:r w:rsidR="00AD3793" w:rsidRPr="004831AB">
        <w:rPr>
          <w:rFonts w:ascii="Times New Roman" w:hAnsi="Times New Roman" w:cs="Times New Roman"/>
          <w:iCs/>
          <w:sz w:val="24"/>
          <w:szCs w:val="24"/>
          <w:lang w:val="sr-Cyrl-CS"/>
        </w:rPr>
        <w:t xml:space="preserve"> </w:t>
      </w:r>
      <w:r w:rsidRPr="004831AB">
        <w:rPr>
          <w:rFonts w:ascii="Times New Roman" w:hAnsi="Times New Roman" w:cs="Times New Roman"/>
          <w:iCs/>
          <w:sz w:val="24"/>
          <w:szCs w:val="24"/>
          <w:lang w:val="sr-Cyrl-CS"/>
        </w:rPr>
        <w:t>политике</w:t>
      </w:r>
      <w:r w:rsidR="00AD3793" w:rsidRPr="004831AB">
        <w:rPr>
          <w:rFonts w:ascii="Times New Roman" w:hAnsi="Times New Roman" w:cs="Times New Roman"/>
          <w:iCs/>
          <w:sz w:val="24"/>
          <w:szCs w:val="24"/>
          <w:lang w:val="sr-Cyrl-CS"/>
        </w:rPr>
        <w:t xml:space="preserve">  од значаја за формулисање Стратегије</w:t>
      </w:r>
    </w:p>
    <w:p w14:paraId="4D20F14F" w14:textId="77777777" w:rsidR="00C16005" w:rsidRPr="004831AB" w:rsidRDefault="00C16005" w:rsidP="003B16CC">
      <w:pPr>
        <w:spacing w:after="120" w:line="240" w:lineRule="auto"/>
        <w:jc w:val="center"/>
        <w:rPr>
          <w:rFonts w:ascii="Times New Roman" w:hAnsi="Times New Roman" w:cs="Times New Roman"/>
          <w:iCs/>
          <w:sz w:val="24"/>
          <w:szCs w:val="24"/>
          <w:lang w:val="sr-Cyrl-CS"/>
        </w:rPr>
      </w:pPr>
    </w:p>
    <w:p w14:paraId="07A9479D" w14:textId="77777777" w:rsidR="00001A4C" w:rsidRPr="004831AB" w:rsidRDefault="00001A4C" w:rsidP="00C16005">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Уједињене нације</w:t>
      </w:r>
    </w:p>
    <w:p w14:paraId="042D19BF" w14:textId="77777777" w:rsidR="00001A4C" w:rsidRPr="004831AB" w:rsidRDefault="004A61FD" w:rsidP="003B16CC">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Агенда Уједињених нација за одрживи развој од 2015. до 2030. године (Агенда 2030)</w:t>
      </w:r>
      <w:r w:rsidRPr="004831AB">
        <w:rPr>
          <w:rStyle w:val="FootnoteReference"/>
          <w:rFonts w:ascii="Times New Roman" w:hAnsi="Times New Roman" w:cs="Times New Roman"/>
          <w:sz w:val="24"/>
          <w:szCs w:val="24"/>
          <w:lang w:val="sr-Cyrl-CS"/>
        </w:rPr>
        <w:footnoteReference w:id="13"/>
      </w:r>
      <w:r w:rsidR="006C7CE4" w:rsidRPr="004831AB">
        <w:rPr>
          <w:rFonts w:ascii="Times New Roman" w:hAnsi="Times New Roman" w:cs="Times New Roman"/>
          <w:sz w:val="24"/>
          <w:szCs w:val="24"/>
          <w:lang w:val="sr-Cyrl-CS"/>
        </w:rPr>
        <w:t xml:space="preserve"> укључује три димензије одрживог развоја – економски раст, социјалну инклузију и заштиту животне средине. Државе потписнице, међу којима је и Република Србија, обавезале су се да ће кроз свеобухватан и међусекторски приступ ангажовати све ресурсе како би до 2030. године оствариле 17 циљева одрживог развоја (ЦОР)</w:t>
      </w:r>
      <w:r w:rsidR="006C7CE4" w:rsidRPr="004831AB">
        <w:rPr>
          <w:rStyle w:val="FootnoteReference"/>
          <w:rFonts w:ascii="Times New Roman" w:hAnsi="Times New Roman" w:cs="Times New Roman"/>
          <w:sz w:val="24"/>
          <w:szCs w:val="24"/>
          <w:lang w:val="sr-Cyrl-CS"/>
        </w:rPr>
        <w:footnoteReference w:id="14"/>
      </w:r>
      <w:r w:rsidR="003D1303" w:rsidRPr="004831AB">
        <w:rPr>
          <w:rFonts w:ascii="Times New Roman" w:hAnsi="Times New Roman" w:cs="Times New Roman"/>
          <w:sz w:val="24"/>
          <w:szCs w:val="24"/>
          <w:lang w:val="sr-Cyrl-CS"/>
        </w:rPr>
        <w:t xml:space="preserve">. ЦОР су проистекли из Миленијумских циљева развоја и препознају да борба против сиромаштва иде руку под руку са економским растом и индустријализацијом и унапређењем области које укључују различите  друштвене потребе као што су здравље, образовање, </w:t>
      </w:r>
      <w:r w:rsidR="003418FA" w:rsidRPr="004831AB">
        <w:rPr>
          <w:rFonts w:ascii="Times New Roman" w:hAnsi="Times New Roman" w:cs="Times New Roman"/>
          <w:sz w:val="24"/>
          <w:szCs w:val="24"/>
          <w:lang w:val="sr-Cyrl-CS"/>
        </w:rPr>
        <w:t xml:space="preserve">социјална заштита </w:t>
      </w:r>
      <w:r w:rsidR="003D1303" w:rsidRPr="004831AB">
        <w:rPr>
          <w:rFonts w:ascii="Times New Roman" w:hAnsi="Times New Roman" w:cs="Times New Roman"/>
          <w:sz w:val="24"/>
          <w:szCs w:val="24"/>
          <w:lang w:val="sr-Cyrl-CS"/>
        </w:rPr>
        <w:t xml:space="preserve">и </w:t>
      </w:r>
      <w:r w:rsidR="003418FA" w:rsidRPr="004831AB">
        <w:rPr>
          <w:rFonts w:ascii="Times New Roman" w:hAnsi="Times New Roman" w:cs="Times New Roman"/>
          <w:sz w:val="24"/>
          <w:szCs w:val="24"/>
          <w:lang w:val="sr-Cyrl-CS"/>
        </w:rPr>
        <w:t xml:space="preserve">здрава животна средина </w:t>
      </w:r>
      <w:r w:rsidR="003D1303" w:rsidRPr="004831AB">
        <w:rPr>
          <w:rFonts w:ascii="Times New Roman" w:hAnsi="Times New Roman" w:cs="Times New Roman"/>
          <w:sz w:val="24"/>
          <w:szCs w:val="24"/>
          <w:lang w:val="sr-Cyrl-CS"/>
        </w:rPr>
        <w:t>и заједнице отпорне на климатске промене.</w:t>
      </w:r>
    </w:p>
    <w:p w14:paraId="51416158" w14:textId="77777777" w:rsidR="003D1303" w:rsidRPr="004831AB" w:rsidRDefault="003D1303" w:rsidP="003B16CC">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Иако су сви циљеви међусобно повезани, за политику МСП</w:t>
      </w:r>
      <w:r w:rsidR="00640CAE"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нарочито су значајни ЦОР 8 Достојанствен рад и економски раст и ЦОР 9 Индустрија, иновације и инфраструктура, али и ЦОР 4 Квалитетно образовање, ЦОР 5 Равноправност, ЦОР 7 Доступна и чиста енергија, ЦОР 12 Одговорна потрошња и производња и ЦОР 13 Климатске промене.</w:t>
      </w:r>
    </w:p>
    <w:p w14:paraId="54404635" w14:textId="77777777" w:rsidR="00001A4C" w:rsidRPr="004831AB" w:rsidRDefault="00001A4C" w:rsidP="00C16005">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Европска унија</w:t>
      </w:r>
    </w:p>
    <w:p w14:paraId="40D245E8" w14:textId="024B3726" w:rsidR="004A61FD" w:rsidRPr="004831AB" w:rsidRDefault="004A61FD" w:rsidP="003B16CC">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Политика МСПП потпада под комплементарне надлежности Е</w:t>
      </w:r>
      <w:r w:rsidR="003B7279" w:rsidRPr="004831AB">
        <w:rPr>
          <w:rFonts w:ascii="Times New Roman" w:hAnsi="Times New Roman" w:cs="Times New Roman"/>
          <w:sz w:val="24"/>
          <w:szCs w:val="24"/>
          <w:lang w:val="sr-Cyrl-CS"/>
        </w:rPr>
        <w:t>вропске уније</w:t>
      </w:r>
      <w:r w:rsidR="002975E2" w:rsidRPr="004831AB">
        <w:rPr>
          <w:rFonts w:ascii="Times New Roman" w:hAnsi="Times New Roman" w:cs="Times New Roman"/>
          <w:sz w:val="24"/>
          <w:szCs w:val="24"/>
          <w:lang w:val="sr-Cyrl-CS"/>
        </w:rPr>
        <w:t xml:space="preserve"> (у даљем тексту: ЕУ)</w:t>
      </w:r>
      <w:r w:rsidRPr="004831AB">
        <w:rPr>
          <w:rFonts w:ascii="Times New Roman" w:hAnsi="Times New Roman" w:cs="Times New Roman"/>
          <w:sz w:val="24"/>
          <w:szCs w:val="24"/>
          <w:lang w:val="sr-Cyrl-CS"/>
        </w:rPr>
        <w:t>, односно</w:t>
      </w:r>
      <w:r w:rsidR="004A2037" w:rsidRPr="004831AB">
        <w:rPr>
          <w:rFonts w:ascii="Times New Roman" w:hAnsi="Times New Roman" w:cs="Times New Roman"/>
          <w:sz w:val="24"/>
          <w:szCs w:val="24"/>
          <w:lang w:val="sr-Cyrl-CS"/>
        </w:rPr>
        <w:t xml:space="preserve"> у обл</w:t>
      </w:r>
      <w:r w:rsidR="00954750" w:rsidRPr="004831AB">
        <w:rPr>
          <w:rFonts w:ascii="Times New Roman" w:hAnsi="Times New Roman" w:cs="Times New Roman"/>
          <w:sz w:val="24"/>
          <w:szCs w:val="24"/>
          <w:lang w:val="sr-Cyrl-CS"/>
        </w:rPr>
        <w:t>а</w:t>
      </w:r>
      <w:r w:rsidR="004A2037" w:rsidRPr="004831AB">
        <w:rPr>
          <w:rFonts w:ascii="Times New Roman" w:hAnsi="Times New Roman" w:cs="Times New Roman"/>
          <w:sz w:val="24"/>
          <w:szCs w:val="24"/>
          <w:lang w:val="sr-Cyrl-CS"/>
        </w:rPr>
        <w:t xml:space="preserve">сти у којима </w:t>
      </w:r>
      <w:r w:rsidRPr="004831AB">
        <w:rPr>
          <w:rFonts w:ascii="Times New Roman" w:hAnsi="Times New Roman" w:cs="Times New Roman"/>
          <w:sz w:val="24"/>
          <w:szCs w:val="24"/>
          <w:lang w:val="sr-Cyrl-CS"/>
        </w:rPr>
        <w:t>Е</w:t>
      </w:r>
      <w:r w:rsidR="002975E2" w:rsidRPr="004831AB">
        <w:rPr>
          <w:rFonts w:ascii="Times New Roman" w:hAnsi="Times New Roman" w:cs="Times New Roman"/>
          <w:sz w:val="24"/>
          <w:szCs w:val="24"/>
          <w:lang w:val="sr-Cyrl-CS"/>
        </w:rPr>
        <w:t>У</w:t>
      </w:r>
      <w:r w:rsidRPr="004831AB">
        <w:rPr>
          <w:rFonts w:ascii="Times New Roman" w:hAnsi="Times New Roman" w:cs="Times New Roman"/>
          <w:sz w:val="24"/>
          <w:szCs w:val="24"/>
          <w:lang w:val="sr-Cyrl-CS"/>
        </w:rPr>
        <w:t xml:space="preserve"> делује у сврху подршке, координације и допуне у активностима и политикама држава чланица. </w:t>
      </w:r>
    </w:p>
    <w:p w14:paraId="5DD0A946" w14:textId="33148988" w:rsidR="00E05823" w:rsidRPr="004831AB" w:rsidRDefault="003B16CC" w:rsidP="003B16CC">
      <w:pPr>
        <w:tabs>
          <w:tab w:val="left" w:pos="0"/>
          <w:tab w:val="left" w:pos="709"/>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0149CE" w:rsidRPr="004831AB">
        <w:rPr>
          <w:rFonts w:ascii="Times New Roman" w:hAnsi="Times New Roman" w:cs="Times New Roman"/>
          <w:sz w:val="24"/>
          <w:szCs w:val="24"/>
          <w:lang w:val="sr-Cyrl-CS"/>
        </w:rPr>
        <w:t>ЕУ</w:t>
      </w:r>
      <w:r w:rsidR="00E05823" w:rsidRPr="004831AB">
        <w:rPr>
          <w:rFonts w:ascii="Times New Roman" w:hAnsi="Times New Roman" w:cs="Times New Roman"/>
          <w:sz w:val="24"/>
          <w:szCs w:val="24"/>
          <w:lang w:val="sr-Cyrl-CS"/>
        </w:rPr>
        <w:t xml:space="preserve"> је, кроз комуникацију Европске комисије ка Европском парламенту, Савету, Европском економском и социјалном комитету, као и Комитету региона, у марту 2020. године усвојила нови стратешки документ „Стратегија МСП за одрживу и дигиталну Европу</w:t>
      </w:r>
      <w:r w:rsidR="00C35722" w:rsidRPr="004831AB">
        <w:rPr>
          <w:rFonts w:ascii="Times New Roman" w:eastAsia="Calibri" w:hAnsi="Times New Roman" w:cs="Times New Roman"/>
          <w:sz w:val="24"/>
          <w:szCs w:val="24"/>
          <w:lang w:val="sr-Cyrl-CS"/>
        </w:rPr>
        <w:t>”</w:t>
      </w:r>
      <w:r w:rsidR="00E05823" w:rsidRPr="004831AB">
        <w:rPr>
          <w:rStyle w:val="FootnoteReference"/>
          <w:rFonts w:ascii="Times New Roman" w:hAnsi="Times New Roman" w:cs="Times New Roman"/>
          <w:sz w:val="24"/>
          <w:szCs w:val="24"/>
          <w:lang w:val="sr-Cyrl-CS"/>
        </w:rPr>
        <w:footnoteReference w:id="15"/>
      </w:r>
      <w:r w:rsidR="00E05823" w:rsidRPr="004831AB">
        <w:rPr>
          <w:rFonts w:ascii="Times New Roman" w:hAnsi="Times New Roman" w:cs="Times New Roman"/>
          <w:sz w:val="24"/>
          <w:szCs w:val="24"/>
          <w:lang w:val="sr-Cyrl-CS"/>
        </w:rPr>
        <w:t xml:space="preserve"> (у даљем тексту</w:t>
      </w:r>
      <w:r w:rsidR="00843EF1" w:rsidRPr="004831AB">
        <w:rPr>
          <w:rFonts w:ascii="Times New Roman" w:hAnsi="Times New Roman" w:cs="Times New Roman"/>
          <w:sz w:val="24"/>
          <w:szCs w:val="24"/>
          <w:lang w:val="sr-Cyrl-CS"/>
        </w:rPr>
        <w:t>:</w:t>
      </w:r>
      <w:r w:rsidR="00E05823" w:rsidRPr="004831AB">
        <w:rPr>
          <w:rFonts w:ascii="Times New Roman" w:hAnsi="Times New Roman" w:cs="Times New Roman"/>
          <w:sz w:val="24"/>
          <w:szCs w:val="24"/>
          <w:lang w:val="sr-Cyrl-CS"/>
        </w:rPr>
        <w:t xml:space="preserve"> ЕУ Стратегија МСП)  који је заснован на оствареним резултатима примене</w:t>
      </w:r>
      <w:r w:rsidR="004A2037" w:rsidRPr="004831AB">
        <w:rPr>
          <w:rFonts w:ascii="Times New Roman" w:hAnsi="Times New Roman" w:cs="Times New Roman"/>
          <w:sz w:val="24"/>
          <w:szCs w:val="24"/>
          <w:lang w:val="sr-Cyrl-CS"/>
        </w:rPr>
        <w:t xml:space="preserve"> </w:t>
      </w:r>
      <w:r w:rsidR="004A2037" w:rsidRPr="004831AB">
        <w:rPr>
          <w:rFonts w:ascii="Times New Roman" w:hAnsi="Times New Roman" w:cs="Times New Roman"/>
          <w:sz w:val="24"/>
          <w:szCs w:val="24"/>
          <w:lang w:val="sr-Cyrl-CS"/>
        </w:rPr>
        <w:lastRenderedPageBreak/>
        <w:t xml:space="preserve">ранијег стратешког документа у овој области, </w:t>
      </w:r>
      <w:r w:rsidR="00E05823" w:rsidRPr="004831AB">
        <w:rPr>
          <w:rFonts w:ascii="Times New Roman" w:hAnsi="Times New Roman" w:cs="Times New Roman"/>
          <w:sz w:val="24"/>
          <w:szCs w:val="24"/>
          <w:lang w:val="sr-Cyrl-CS"/>
        </w:rPr>
        <w:t xml:space="preserve"> Акта о малим предузећима (СБА)</w:t>
      </w:r>
      <w:r w:rsidR="00E05823" w:rsidRPr="004831AB">
        <w:rPr>
          <w:rStyle w:val="FootnoteReference"/>
          <w:rFonts w:ascii="Times New Roman" w:hAnsi="Times New Roman" w:cs="Times New Roman"/>
          <w:sz w:val="24"/>
          <w:szCs w:val="24"/>
          <w:lang w:val="sr-Cyrl-CS"/>
        </w:rPr>
        <w:footnoteReference w:id="16"/>
      </w:r>
      <w:r w:rsidR="00E05823" w:rsidRPr="004831AB">
        <w:rPr>
          <w:rFonts w:ascii="Times New Roman" w:hAnsi="Times New Roman" w:cs="Times New Roman"/>
          <w:sz w:val="24"/>
          <w:szCs w:val="24"/>
          <w:lang w:val="sr-Cyrl-CS"/>
        </w:rPr>
        <w:t xml:space="preserve"> </w:t>
      </w:r>
      <w:r w:rsidR="004A2037" w:rsidRPr="004831AB">
        <w:rPr>
          <w:rFonts w:ascii="Times New Roman" w:hAnsi="Times New Roman" w:cs="Times New Roman"/>
          <w:sz w:val="24"/>
          <w:szCs w:val="24"/>
          <w:lang w:val="sr-Cyrl-CS"/>
        </w:rPr>
        <w:t xml:space="preserve">, као </w:t>
      </w:r>
      <w:r w:rsidR="00E05823" w:rsidRPr="004831AB">
        <w:rPr>
          <w:rFonts w:ascii="Times New Roman" w:hAnsi="Times New Roman" w:cs="Times New Roman"/>
          <w:sz w:val="24"/>
          <w:szCs w:val="24"/>
          <w:lang w:val="sr-Cyrl-CS"/>
        </w:rPr>
        <w:t xml:space="preserve">и текућим развојним </w:t>
      </w:r>
      <w:r w:rsidR="004A2037" w:rsidRPr="004831AB">
        <w:rPr>
          <w:rFonts w:ascii="Times New Roman" w:hAnsi="Times New Roman" w:cs="Times New Roman"/>
          <w:sz w:val="24"/>
          <w:szCs w:val="24"/>
          <w:lang w:val="sr-Cyrl-CS"/>
        </w:rPr>
        <w:t xml:space="preserve">приоритетима и </w:t>
      </w:r>
      <w:r w:rsidR="00E05823" w:rsidRPr="004831AB">
        <w:rPr>
          <w:rFonts w:ascii="Times New Roman" w:hAnsi="Times New Roman" w:cs="Times New Roman"/>
          <w:sz w:val="24"/>
          <w:szCs w:val="24"/>
          <w:lang w:val="sr-Cyrl-CS"/>
        </w:rPr>
        <w:t xml:space="preserve">потребама МСПП у ЕУ. Истовремено, имајући у виду значајан утицај пандемије </w:t>
      </w:r>
      <w:r w:rsidR="00DD1A6D" w:rsidRPr="004831AB">
        <w:rPr>
          <w:rFonts w:ascii="Times New Roman" w:hAnsi="Times New Roman" w:cs="Times New Roman"/>
          <w:iCs/>
          <w:sz w:val="24"/>
          <w:szCs w:val="24"/>
          <w:lang w:val="sr-Cyrl-CS"/>
        </w:rPr>
        <w:t>COVID</w:t>
      </w:r>
      <w:r w:rsidR="00E05823" w:rsidRPr="004831AB">
        <w:rPr>
          <w:rFonts w:ascii="Times New Roman" w:hAnsi="Times New Roman" w:cs="Times New Roman"/>
          <w:sz w:val="24"/>
          <w:szCs w:val="24"/>
          <w:lang w:val="sr-Cyrl-CS"/>
        </w:rPr>
        <w:t>-19 на привредни сектор, искуства примењена на с</w:t>
      </w:r>
      <w:r w:rsidR="00843EF1"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владавање њених негативних утицаја су такође представљала специфичан допринос у креирању оријентације овог документа.</w:t>
      </w:r>
    </w:p>
    <w:p w14:paraId="28FAD406" w14:textId="0B0F95CF" w:rsidR="00E05823" w:rsidRPr="004831AB" w:rsidRDefault="003B16CC" w:rsidP="003B16CC">
      <w:pPr>
        <w:tabs>
          <w:tab w:val="left" w:pos="0"/>
          <w:tab w:val="left" w:pos="567"/>
          <w:tab w:val="left" w:pos="709"/>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E05823" w:rsidRPr="004831AB">
        <w:rPr>
          <w:rFonts w:ascii="Times New Roman" w:hAnsi="Times New Roman" w:cs="Times New Roman"/>
          <w:sz w:val="24"/>
          <w:szCs w:val="24"/>
          <w:lang w:val="sr-Cyrl-CS"/>
        </w:rPr>
        <w:t>У таквим условима, главни приоритети СБА (Промоција предузетништва; Смањење регулаторних препрека; Приступ финансијама; Приступ тржиштима и интернационализација) су трансформисани у следећа три главна стуба ЕУ Стратегије МСП:</w:t>
      </w:r>
    </w:p>
    <w:p w14:paraId="39A4ABBE" w14:textId="77777777" w:rsidR="00E05823" w:rsidRPr="004831AB" w:rsidRDefault="00E05823" w:rsidP="00524FAE">
      <w:pPr>
        <w:pStyle w:val="ListParagraph"/>
        <w:numPr>
          <w:ilvl w:val="1"/>
          <w:numId w:val="6"/>
        </w:numPr>
        <w:tabs>
          <w:tab w:val="left" w:pos="0"/>
          <w:tab w:val="left" w:pos="990"/>
        </w:tabs>
        <w:spacing w:after="120" w:line="240" w:lineRule="auto"/>
        <w:ind w:left="1418"/>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Изградња капацитета и подршка транзицији ка одрживости и дигитализацији; </w:t>
      </w:r>
    </w:p>
    <w:p w14:paraId="7D5D6F63" w14:textId="77777777" w:rsidR="00E05823" w:rsidRPr="004831AB" w:rsidRDefault="00E05823" w:rsidP="00524FAE">
      <w:pPr>
        <w:pStyle w:val="ListParagraph"/>
        <w:numPr>
          <w:ilvl w:val="1"/>
          <w:numId w:val="6"/>
        </w:numPr>
        <w:tabs>
          <w:tab w:val="left" w:pos="0"/>
          <w:tab w:val="left" w:pos="990"/>
        </w:tabs>
        <w:spacing w:after="120" w:line="240" w:lineRule="auto"/>
        <w:ind w:left="1418"/>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Смањење регулаторних препрека и унапређење приступа тржишту; </w:t>
      </w:r>
    </w:p>
    <w:p w14:paraId="0487213B" w14:textId="77777777" w:rsidR="00E05823" w:rsidRPr="004831AB" w:rsidRDefault="00E05823" w:rsidP="00524FAE">
      <w:pPr>
        <w:pStyle w:val="ListParagraph"/>
        <w:numPr>
          <w:ilvl w:val="1"/>
          <w:numId w:val="6"/>
        </w:numPr>
        <w:tabs>
          <w:tab w:val="left" w:pos="0"/>
          <w:tab w:val="left" w:pos="990"/>
        </w:tabs>
        <w:spacing w:after="120" w:line="240" w:lineRule="auto"/>
        <w:ind w:left="1418"/>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Унапређење приступа финансијама.</w:t>
      </w:r>
    </w:p>
    <w:p w14:paraId="4F127613" w14:textId="643E1DFC" w:rsidR="00E05823" w:rsidRPr="004831AB" w:rsidRDefault="003B16CC" w:rsidP="00524FAE">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E05823" w:rsidRPr="004831AB">
        <w:rPr>
          <w:rFonts w:ascii="Times New Roman" w:hAnsi="Times New Roman" w:cs="Times New Roman"/>
          <w:sz w:val="24"/>
          <w:szCs w:val="24"/>
          <w:lang w:val="sr-Cyrl-CS"/>
        </w:rPr>
        <w:t xml:space="preserve">Основни циљ </w:t>
      </w:r>
      <w:r w:rsidR="004A2037" w:rsidRPr="004831AB">
        <w:rPr>
          <w:rFonts w:ascii="Times New Roman" w:hAnsi="Times New Roman" w:cs="Times New Roman"/>
          <w:sz w:val="24"/>
          <w:szCs w:val="24"/>
          <w:lang w:val="sr-Cyrl-CS"/>
        </w:rPr>
        <w:t xml:space="preserve">нове </w:t>
      </w:r>
      <w:r w:rsidR="00E05823" w:rsidRPr="004831AB">
        <w:rPr>
          <w:rFonts w:ascii="Times New Roman" w:hAnsi="Times New Roman" w:cs="Times New Roman"/>
          <w:sz w:val="24"/>
          <w:szCs w:val="24"/>
          <w:lang w:val="sr-Cyrl-CS"/>
        </w:rPr>
        <w:t>ЕУ политике</w:t>
      </w:r>
      <w:r w:rsidR="004A2037" w:rsidRPr="004831AB">
        <w:rPr>
          <w:rFonts w:ascii="Times New Roman" w:hAnsi="Times New Roman" w:cs="Times New Roman"/>
          <w:sz w:val="24"/>
          <w:szCs w:val="24"/>
          <w:lang w:val="sr-Cyrl-CS"/>
        </w:rPr>
        <w:t xml:space="preserve"> у области </w:t>
      </w:r>
      <w:r w:rsidR="00954750" w:rsidRPr="004831AB">
        <w:rPr>
          <w:rFonts w:ascii="Times New Roman" w:hAnsi="Times New Roman" w:cs="Times New Roman"/>
          <w:sz w:val="24"/>
          <w:szCs w:val="24"/>
          <w:lang w:val="sr-Cyrl-CS"/>
        </w:rPr>
        <w:t>предузетништва</w:t>
      </w:r>
      <w:r w:rsidR="00E05823" w:rsidRPr="004831AB">
        <w:rPr>
          <w:rFonts w:ascii="Times New Roman" w:hAnsi="Times New Roman" w:cs="Times New Roman"/>
          <w:sz w:val="24"/>
          <w:szCs w:val="24"/>
          <w:lang w:val="sr-Cyrl-CS"/>
        </w:rPr>
        <w:t xml:space="preserve"> је да се ослободе потенцијали свих МСПП у ЕУ како би могли да предводе двоструку транзицију привреде (ка одрживости и дигитализацији) уз значајно повећање броја МСПП укључених у одрживи развој</w:t>
      </w:r>
      <w:r w:rsidR="004A2037" w:rsidRPr="004831AB">
        <w:rPr>
          <w:rFonts w:ascii="Times New Roman" w:hAnsi="Times New Roman" w:cs="Times New Roman"/>
          <w:sz w:val="24"/>
          <w:szCs w:val="24"/>
          <w:lang w:val="sr-Cyrl-CS"/>
        </w:rPr>
        <w:t xml:space="preserve">, као и оних </w:t>
      </w:r>
      <w:r w:rsidR="00E05823" w:rsidRPr="004831AB">
        <w:rPr>
          <w:rFonts w:ascii="Times New Roman" w:hAnsi="Times New Roman" w:cs="Times New Roman"/>
          <w:sz w:val="24"/>
          <w:szCs w:val="24"/>
          <w:lang w:val="sr-Cyrl-CS"/>
        </w:rPr>
        <w:t xml:space="preserve">  која користе дигиталне технологије.</w:t>
      </w:r>
    </w:p>
    <w:p w14:paraId="1248A619" w14:textId="77777777" w:rsidR="00E05823" w:rsidRPr="004831AB" w:rsidRDefault="00E05823" w:rsidP="003E089B">
      <w:pPr>
        <w:tabs>
          <w:tab w:val="left" w:pos="0"/>
          <w:tab w:val="left" w:pos="990"/>
        </w:tabs>
        <w:spacing w:after="120" w:line="240" w:lineRule="auto"/>
        <w:rPr>
          <w:rFonts w:ascii="Times New Roman" w:hAnsi="Times New Roman" w:cs="Times New Roman"/>
          <w:sz w:val="24"/>
          <w:szCs w:val="24"/>
          <w:lang w:val="sr-Cyrl-CS"/>
        </w:rPr>
      </w:pPr>
      <w:r w:rsidRPr="004831AB">
        <w:rPr>
          <w:rFonts w:ascii="Times New Roman" w:hAnsi="Times New Roman" w:cs="Times New Roman"/>
          <w:sz w:val="24"/>
          <w:szCs w:val="24"/>
          <w:lang w:val="sr-Cyrl-CS"/>
        </w:rPr>
        <w:t>Европски зелени договор (The European Green Deal - ЕГД)  - Зелена агенда ЕУ</w:t>
      </w:r>
    </w:p>
    <w:p w14:paraId="0818D5D7" w14:textId="3AA5819F" w:rsidR="00E05823" w:rsidRPr="004831AB" w:rsidRDefault="003B16CC" w:rsidP="003B16CC">
      <w:pPr>
        <w:tabs>
          <w:tab w:val="left" w:pos="0"/>
          <w:tab w:val="left" w:pos="709"/>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4E5A52" w:rsidRPr="004831AB">
        <w:rPr>
          <w:rFonts w:ascii="Times New Roman" w:hAnsi="Times New Roman" w:cs="Times New Roman"/>
          <w:sz w:val="24"/>
          <w:szCs w:val="24"/>
          <w:lang w:val="sr-Cyrl-CS"/>
        </w:rPr>
        <w:t>На</w:t>
      </w:r>
      <w:r w:rsidR="00E05823" w:rsidRPr="004831AB">
        <w:rPr>
          <w:rFonts w:ascii="Times New Roman" w:hAnsi="Times New Roman" w:cs="Times New Roman"/>
          <w:sz w:val="24"/>
          <w:szCs w:val="24"/>
          <w:lang w:val="sr-Cyrl-CS"/>
        </w:rPr>
        <w:t xml:space="preserve"> формулисањ</w:t>
      </w:r>
      <w:r w:rsidR="004374AC"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 xml:space="preserve"> нове стратегије МСПП у ЕУ, </w:t>
      </w:r>
      <w:r w:rsidR="004374AC" w:rsidRPr="004831AB">
        <w:rPr>
          <w:rFonts w:ascii="Times New Roman" w:hAnsi="Times New Roman" w:cs="Times New Roman"/>
          <w:sz w:val="24"/>
          <w:szCs w:val="24"/>
          <w:lang w:val="sr-Cyrl-CS"/>
        </w:rPr>
        <w:t xml:space="preserve">снажан утицај имао је </w:t>
      </w:r>
      <w:r w:rsidR="00E05823" w:rsidRPr="004831AB">
        <w:rPr>
          <w:rFonts w:ascii="Times New Roman" w:hAnsi="Times New Roman" w:cs="Times New Roman"/>
          <w:sz w:val="24"/>
          <w:szCs w:val="24"/>
          <w:lang w:val="sr-Cyrl-CS"/>
        </w:rPr>
        <w:t>Европски зелени договор (ЕГД)</w:t>
      </w:r>
      <w:r w:rsidR="004374AC" w:rsidRPr="004831AB">
        <w:rPr>
          <w:rFonts w:ascii="Times New Roman" w:hAnsi="Times New Roman" w:cs="Times New Roman"/>
          <w:sz w:val="24"/>
          <w:szCs w:val="24"/>
          <w:lang w:val="sr-Cyrl-CS"/>
        </w:rPr>
        <w:t xml:space="preserve">, у смислу </w:t>
      </w:r>
      <w:r w:rsidR="00E05823" w:rsidRPr="004831AB">
        <w:rPr>
          <w:rFonts w:ascii="Times New Roman" w:hAnsi="Times New Roman" w:cs="Times New Roman"/>
          <w:sz w:val="24"/>
          <w:szCs w:val="24"/>
          <w:lang w:val="sr-Cyrl-CS"/>
        </w:rPr>
        <w:t>усмерењ</w:t>
      </w:r>
      <w:r w:rsidR="004374AC"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 xml:space="preserve"> будућег развоја МСПП ка одрживој и зеленој економији. ЕГД је нов</w:t>
      </w:r>
      <w:r w:rsidR="00954750" w:rsidRPr="004831AB">
        <w:rPr>
          <w:rFonts w:ascii="Times New Roman" w:hAnsi="Times New Roman" w:cs="Times New Roman"/>
          <w:sz w:val="24"/>
          <w:szCs w:val="24"/>
          <w:lang w:val="sr-Cyrl-CS"/>
        </w:rPr>
        <w:t>а</w:t>
      </w:r>
      <w:r w:rsidR="004E5A52" w:rsidRPr="004831AB">
        <w:rPr>
          <w:rFonts w:ascii="Times New Roman" w:hAnsi="Times New Roman" w:cs="Times New Roman"/>
          <w:sz w:val="24"/>
          <w:szCs w:val="24"/>
          <w:lang w:val="sr-Cyrl-CS"/>
        </w:rPr>
        <w:t xml:space="preserve"> </w:t>
      </w:r>
      <w:r w:rsidR="00954750" w:rsidRPr="004831AB">
        <w:rPr>
          <w:rFonts w:ascii="Times New Roman" w:hAnsi="Times New Roman" w:cs="Times New Roman"/>
          <w:sz w:val="24"/>
          <w:szCs w:val="24"/>
          <w:lang w:val="sr-Cyrl-CS"/>
        </w:rPr>
        <w:t>парадигма</w:t>
      </w:r>
      <w:r w:rsidR="004E5A52" w:rsidRPr="004831AB">
        <w:rPr>
          <w:rFonts w:ascii="Times New Roman" w:hAnsi="Times New Roman" w:cs="Times New Roman"/>
          <w:sz w:val="24"/>
          <w:szCs w:val="24"/>
          <w:lang w:val="sr-Cyrl-CS"/>
        </w:rPr>
        <w:t xml:space="preserve"> </w:t>
      </w:r>
      <w:r w:rsidR="006948ED" w:rsidRPr="004831AB">
        <w:rPr>
          <w:rFonts w:ascii="Times New Roman" w:hAnsi="Times New Roman" w:cs="Times New Roman"/>
          <w:sz w:val="24"/>
          <w:szCs w:val="24"/>
          <w:lang w:val="sr-Cyrl-CS"/>
        </w:rPr>
        <w:t>ЕУ</w:t>
      </w:r>
      <w:r w:rsidR="00E05823" w:rsidRPr="004831AB">
        <w:rPr>
          <w:rFonts w:ascii="Times New Roman" w:hAnsi="Times New Roman" w:cs="Times New Roman"/>
          <w:sz w:val="24"/>
          <w:szCs w:val="24"/>
          <w:lang w:val="sr-Cyrl-CS"/>
        </w:rPr>
        <w:t xml:space="preserve"> </w:t>
      </w:r>
      <w:r w:rsidR="00954750" w:rsidRPr="004831AB">
        <w:rPr>
          <w:rFonts w:ascii="Times New Roman" w:hAnsi="Times New Roman" w:cs="Times New Roman"/>
          <w:sz w:val="24"/>
          <w:szCs w:val="24"/>
          <w:lang w:val="sr-Cyrl-CS"/>
        </w:rPr>
        <w:t xml:space="preserve">која у центар ставља </w:t>
      </w:r>
      <w:r w:rsidR="004E5A52" w:rsidRPr="004831AB">
        <w:rPr>
          <w:rFonts w:ascii="Times New Roman" w:hAnsi="Times New Roman" w:cs="Times New Roman"/>
          <w:sz w:val="24"/>
          <w:szCs w:val="24"/>
          <w:lang w:val="sr-Cyrl-CS"/>
        </w:rPr>
        <w:t xml:space="preserve">зелену транзицију ка климатски неутралној привреди, </w:t>
      </w:r>
      <w:r w:rsidR="004374AC" w:rsidRPr="004831AB">
        <w:rPr>
          <w:rFonts w:ascii="Times New Roman" w:hAnsi="Times New Roman" w:cs="Times New Roman"/>
          <w:sz w:val="24"/>
          <w:szCs w:val="24"/>
          <w:lang w:val="sr-Cyrl-CS"/>
        </w:rPr>
        <w:t xml:space="preserve">чији су главни циљеви </w:t>
      </w:r>
      <w:r w:rsidR="00E05823" w:rsidRPr="004831AB">
        <w:rPr>
          <w:rFonts w:ascii="Times New Roman" w:hAnsi="Times New Roman" w:cs="Times New Roman"/>
          <w:sz w:val="24"/>
          <w:szCs w:val="24"/>
          <w:lang w:val="sr-Cyrl-CS"/>
        </w:rPr>
        <w:t xml:space="preserve"> </w:t>
      </w:r>
      <w:r w:rsidR="004374AC" w:rsidRPr="004831AB">
        <w:rPr>
          <w:rFonts w:ascii="Times New Roman" w:hAnsi="Times New Roman" w:cs="Times New Roman"/>
          <w:sz w:val="24"/>
          <w:szCs w:val="24"/>
          <w:lang w:val="sr-Cyrl-CS"/>
        </w:rPr>
        <w:t xml:space="preserve">достизање нулте емисије гасова са ефектом стаклене баште </w:t>
      </w:r>
      <w:r w:rsidR="00E05823" w:rsidRPr="004831AB">
        <w:rPr>
          <w:rFonts w:ascii="Times New Roman" w:hAnsi="Times New Roman" w:cs="Times New Roman"/>
          <w:sz w:val="24"/>
          <w:szCs w:val="24"/>
          <w:lang w:val="sr-Cyrl-CS"/>
        </w:rPr>
        <w:t>до 2050. године</w:t>
      </w:r>
      <w:r w:rsidR="004374AC" w:rsidRPr="004831AB">
        <w:rPr>
          <w:rFonts w:ascii="Times New Roman" w:hAnsi="Times New Roman" w:cs="Times New Roman"/>
          <w:sz w:val="24"/>
          <w:szCs w:val="24"/>
          <w:lang w:val="sr-Cyrl-CS"/>
        </w:rPr>
        <w:t xml:space="preserve">, економски развој који не </w:t>
      </w:r>
      <w:r w:rsidR="004E5A52" w:rsidRPr="004831AB">
        <w:rPr>
          <w:rFonts w:ascii="Times New Roman" w:hAnsi="Times New Roman" w:cs="Times New Roman"/>
          <w:sz w:val="24"/>
          <w:szCs w:val="24"/>
          <w:lang w:val="sr-Cyrl-CS"/>
        </w:rPr>
        <w:t>почива</w:t>
      </w:r>
      <w:r w:rsidR="004374AC" w:rsidRPr="004831AB">
        <w:rPr>
          <w:rFonts w:ascii="Times New Roman" w:hAnsi="Times New Roman" w:cs="Times New Roman"/>
          <w:sz w:val="24"/>
          <w:szCs w:val="24"/>
          <w:lang w:val="sr-Cyrl-CS"/>
        </w:rPr>
        <w:t xml:space="preserve"> на употреби природних ресур</w:t>
      </w:r>
      <w:r w:rsidR="004831AB">
        <w:rPr>
          <w:rFonts w:ascii="Times New Roman" w:hAnsi="Times New Roman" w:cs="Times New Roman"/>
          <w:sz w:val="24"/>
          <w:szCs w:val="24"/>
          <w:lang w:val="sr-Cyrl-CS"/>
        </w:rPr>
        <w:t>с</w:t>
      </w:r>
      <w:r w:rsidR="004374AC"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 xml:space="preserve"> и осигурава</w:t>
      </w:r>
      <w:r w:rsidR="004374AC" w:rsidRPr="004831AB">
        <w:rPr>
          <w:rFonts w:ascii="Times New Roman" w:hAnsi="Times New Roman" w:cs="Times New Roman"/>
          <w:sz w:val="24"/>
          <w:szCs w:val="24"/>
          <w:lang w:val="sr-Cyrl-CS"/>
        </w:rPr>
        <w:t>ње</w:t>
      </w:r>
      <w:r w:rsidR="00E05823" w:rsidRPr="004831AB">
        <w:rPr>
          <w:rFonts w:ascii="Times New Roman" w:hAnsi="Times New Roman" w:cs="Times New Roman"/>
          <w:sz w:val="24"/>
          <w:szCs w:val="24"/>
          <w:lang w:val="sr-Cyrl-CS"/>
        </w:rPr>
        <w:t xml:space="preserve"> да „ниједна особа и ниједно место не буду </w:t>
      </w:r>
      <w:r w:rsidR="004374AC" w:rsidRPr="004831AB">
        <w:rPr>
          <w:rFonts w:ascii="Times New Roman" w:hAnsi="Times New Roman" w:cs="Times New Roman"/>
          <w:sz w:val="24"/>
          <w:szCs w:val="24"/>
          <w:lang w:val="sr-Cyrl-CS"/>
        </w:rPr>
        <w:t>запостављени</w:t>
      </w:r>
      <w:r w:rsidR="007E5D5C" w:rsidRPr="004831AB">
        <w:rPr>
          <w:rFonts w:ascii="Times New Roman" w:hAnsi="Times New Roman" w:cs="Times New Roman"/>
          <w:sz w:val="24"/>
          <w:szCs w:val="24"/>
          <w:lang w:val="sr-Cyrl-CS"/>
        </w:rPr>
        <w:t>”</w:t>
      </w:r>
      <w:r w:rsidR="00E05823" w:rsidRPr="004831AB">
        <w:rPr>
          <w:rFonts w:ascii="Times New Roman" w:hAnsi="Times New Roman" w:cs="Times New Roman"/>
          <w:sz w:val="24"/>
          <w:szCs w:val="24"/>
          <w:lang w:val="sr-Cyrl-CS"/>
        </w:rPr>
        <w:t xml:space="preserve">. </w:t>
      </w:r>
    </w:p>
    <w:p w14:paraId="3BD05AE5" w14:textId="77777777" w:rsidR="00E05823" w:rsidRPr="004831AB" w:rsidRDefault="00E05823" w:rsidP="00237903">
      <w:pPr>
        <w:tabs>
          <w:tab w:val="left" w:pos="0"/>
          <w:tab w:val="left" w:pos="990"/>
        </w:tabs>
        <w:spacing w:after="120" w:line="240" w:lineRule="auto"/>
        <w:jc w:val="both"/>
        <w:rPr>
          <w:rFonts w:cs="Times New Roman"/>
          <w:szCs w:val="24"/>
          <w:lang w:val="sr-Cyrl-CS"/>
        </w:rPr>
      </w:pPr>
      <w:r w:rsidRPr="004831AB">
        <w:rPr>
          <w:rFonts w:ascii="Times New Roman" w:hAnsi="Times New Roman" w:cs="Times New Roman"/>
          <w:sz w:val="24"/>
          <w:szCs w:val="24"/>
          <w:lang w:val="sr-Cyrl-CS"/>
        </w:rPr>
        <w:t>Европска зелена агенда за Западни Балкан</w:t>
      </w:r>
    </w:p>
    <w:p w14:paraId="433BC91A" w14:textId="53A8B1F7" w:rsidR="00E05823" w:rsidRPr="004831AB" w:rsidRDefault="005935BD" w:rsidP="005935BD">
      <w:pPr>
        <w:tabs>
          <w:tab w:val="left" w:pos="0"/>
          <w:tab w:val="left" w:pos="709"/>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E05823" w:rsidRPr="004831AB">
        <w:rPr>
          <w:rFonts w:ascii="Times New Roman" w:hAnsi="Times New Roman" w:cs="Times New Roman"/>
          <w:sz w:val="24"/>
          <w:szCs w:val="24"/>
          <w:lang w:val="sr-Cyrl-CS"/>
        </w:rPr>
        <w:t>На самиту у Софији 2020</w:t>
      </w:r>
      <w:r w:rsidR="00B441E7" w:rsidRPr="004831AB">
        <w:rPr>
          <w:rFonts w:ascii="Times New Roman" w:hAnsi="Times New Roman" w:cs="Times New Roman"/>
          <w:sz w:val="24"/>
          <w:szCs w:val="24"/>
          <w:lang w:val="sr-Cyrl-CS"/>
        </w:rPr>
        <w:t>.</w:t>
      </w:r>
      <w:r w:rsidR="00F20584" w:rsidRPr="004831AB">
        <w:rPr>
          <w:rFonts w:ascii="Times New Roman" w:hAnsi="Times New Roman" w:cs="Times New Roman"/>
          <w:sz w:val="24"/>
          <w:szCs w:val="24"/>
          <w:lang w:val="sr-Cyrl-CS"/>
        </w:rPr>
        <w:t xml:space="preserve"> године потписивањем с</w:t>
      </w:r>
      <w:r w:rsidR="00E05823" w:rsidRPr="004831AB">
        <w:rPr>
          <w:rFonts w:ascii="Times New Roman" w:hAnsi="Times New Roman" w:cs="Times New Roman"/>
          <w:sz w:val="24"/>
          <w:szCs w:val="24"/>
          <w:lang w:val="sr-Cyrl-CS"/>
        </w:rPr>
        <w:t xml:space="preserve">офијске декларације </w:t>
      </w:r>
      <w:r w:rsidR="008C097D" w:rsidRPr="004831AB">
        <w:rPr>
          <w:rFonts w:ascii="Times New Roman" w:hAnsi="Times New Roman" w:cs="Times New Roman"/>
          <w:sz w:val="24"/>
          <w:szCs w:val="24"/>
          <w:lang w:val="sr-Cyrl-CS"/>
        </w:rPr>
        <w:t>економије Западног Балкана, укључују</w:t>
      </w:r>
      <w:r w:rsidR="00954750" w:rsidRPr="004831AB">
        <w:rPr>
          <w:rFonts w:ascii="Times New Roman" w:hAnsi="Times New Roman" w:cs="Times New Roman"/>
          <w:sz w:val="24"/>
          <w:szCs w:val="24"/>
          <w:lang w:val="sr-Cyrl-CS"/>
        </w:rPr>
        <w:t>ћ</w:t>
      </w:r>
      <w:r w:rsidR="008C097D" w:rsidRPr="004831AB">
        <w:rPr>
          <w:rFonts w:ascii="Times New Roman" w:hAnsi="Times New Roman" w:cs="Times New Roman"/>
          <w:sz w:val="24"/>
          <w:szCs w:val="24"/>
          <w:lang w:val="sr-Cyrl-CS"/>
        </w:rPr>
        <w:t xml:space="preserve">и Републику Србију, </w:t>
      </w:r>
      <w:r w:rsidR="00280FE3" w:rsidRPr="004831AB">
        <w:rPr>
          <w:rFonts w:ascii="Times New Roman" w:hAnsi="Times New Roman" w:cs="Times New Roman"/>
          <w:sz w:val="24"/>
          <w:szCs w:val="24"/>
          <w:lang w:val="sr-Cyrl-CS"/>
        </w:rPr>
        <w:t xml:space="preserve">државе </w:t>
      </w:r>
      <w:r w:rsidR="003D1E29" w:rsidRPr="004831AB">
        <w:rPr>
          <w:rFonts w:ascii="Times New Roman" w:hAnsi="Times New Roman" w:cs="Times New Roman"/>
          <w:sz w:val="24"/>
          <w:szCs w:val="24"/>
          <w:lang w:val="sr-Cyrl-CS"/>
        </w:rPr>
        <w:t xml:space="preserve">Западног </w:t>
      </w:r>
      <w:r w:rsidR="00280FE3" w:rsidRPr="004831AB">
        <w:rPr>
          <w:rFonts w:ascii="Times New Roman" w:hAnsi="Times New Roman" w:cs="Times New Roman"/>
          <w:sz w:val="24"/>
          <w:szCs w:val="24"/>
          <w:lang w:val="sr-Cyrl-CS"/>
        </w:rPr>
        <w:t xml:space="preserve">Балкана </w:t>
      </w:r>
      <w:r w:rsidR="00E05823" w:rsidRPr="004831AB">
        <w:rPr>
          <w:rFonts w:ascii="Times New Roman" w:hAnsi="Times New Roman" w:cs="Times New Roman"/>
          <w:sz w:val="24"/>
          <w:szCs w:val="24"/>
          <w:lang w:val="sr-Cyrl-CS"/>
        </w:rPr>
        <w:t>прихва</w:t>
      </w:r>
      <w:r w:rsidR="008C097D" w:rsidRPr="004831AB">
        <w:rPr>
          <w:rFonts w:ascii="Times New Roman" w:hAnsi="Times New Roman" w:cs="Times New Roman"/>
          <w:sz w:val="24"/>
          <w:szCs w:val="24"/>
          <w:lang w:val="sr-Cyrl-CS"/>
        </w:rPr>
        <w:t xml:space="preserve">тиле су </w:t>
      </w:r>
      <w:r w:rsidR="00E05823" w:rsidRPr="004831AB">
        <w:rPr>
          <w:rFonts w:ascii="Times New Roman" w:hAnsi="Times New Roman" w:cs="Times New Roman"/>
          <w:sz w:val="24"/>
          <w:szCs w:val="24"/>
          <w:lang w:val="sr-Cyrl-CS"/>
        </w:rPr>
        <w:t>принцип</w:t>
      </w:r>
      <w:r w:rsidR="008C097D" w:rsidRPr="004831AB">
        <w:rPr>
          <w:rFonts w:ascii="Times New Roman" w:hAnsi="Times New Roman" w:cs="Times New Roman"/>
          <w:sz w:val="24"/>
          <w:szCs w:val="24"/>
          <w:lang w:val="sr-Cyrl-CS"/>
        </w:rPr>
        <w:t>е</w:t>
      </w:r>
      <w:r w:rsidR="00E05823" w:rsidRPr="004831AB">
        <w:rPr>
          <w:rFonts w:ascii="Times New Roman" w:hAnsi="Times New Roman" w:cs="Times New Roman"/>
          <w:sz w:val="24"/>
          <w:szCs w:val="24"/>
          <w:lang w:val="sr-Cyrl-CS"/>
        </w:rPr>
        <w:t xml:space="preserve"> Европског зеленог </w:t>
      </w:r>
      <w:r w:rsidR="004E5A52" w:rsidRPr="004831AB">
        <w:rPr>
          <w:rFonts w:ascii="Times New Roman" w:hAnsi="Times New Roman" w:cs="Times New Roman"/>
          <w:sz w:val="24"/>
          <w:szCs w:val="24"/>
          <w:lang w:val="sr-Cyrl-CS"/>
        </w:rPr>
        <w:t>договор</w:t>
      </w:r>
      <w:r w:rsidR="008C097D"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 xml:space="preserve"> чиме </w:t>
      </w:r>
      <w:r w:rsidR="008C097D" w:rsidRPr="004831AB">
        <w:rPr>
          <w:rFonts w:ascii="Times New Roman" w:hAnsi="Times New Roman" w:cs="Times New Roman"/>
          <w:sz w:val="24"/>
          <w:szCs w:val="24"/>
          <w:lang w:val="sr-Cyrl-CS"/>
        </w:rPr>
        <w:t>се</w:t>
      </w:r>
      <w:r w:rsidR="00E05823" w:rsidRPr="004831AB">
        <w:rPr>
          <w:rFonts w:ascii="Times New Roman" w:hAnsi="Times New Roman" w:cs="Times New Roman"/>
          <w:sz w:val="24"/>
          <w:szCs w:val="24"/>
          <w:lang w:val="sr-Cyrl-CS"/>
        </w:rPr>
        <w:t xml:space="preserve"> Западни Балкан </w:t>
      </w:r>
      <w:r w:rsidR="008C097D" w:rsidRPr="004831AB">
        <w:rPr>
          <w:rFonts w:ascii="Times New Roman" w:hAnsi="Times New Roman" w:cs="Times New Roman"/>
          <w:sz w:val="24"/>
          <w:szCs w:val="24"/>
          <w:lang w:val="sr-Cyrl-CS"/>
        </w:rPr>
        <w:t xml:space="preserve">прикључио напорима </w:t>
      </w:r>
      <w:r w:rsidR="00E05823" w:rsidRPr="004831AB">
        <w:rPr>
          <w:rFonts w:ascii="Times New Roman" w:hAnsi="Times New Roman" w:cs="Times New Roman"/>
          <w:sz w:val="24"/>
          <w:szCs w:val="24"/>
          <w:lang w:val="sr-Cyrl-CS"/>
        </w:rPr>
        <w:t xml:space="preserve">да се убрзано изврши трансформација према модерној, климатски неутралној, ресурсно-ефикасној и конкурентној економији. </w:t>
      </w:r>
      <w:r w:rsidR="008C097D" w:rsidRPr="004831AB">
        <w:rPr>
          <w:rFonts w:ascii="Times New Roman" w:hAnsi="Times New Roman" w:cs="Times New Roman"/>
          <w:sz w:val="24"/>
          <w:szCs w:val="24"/>
          <w:lang w:val="sr-Cyrl-CS"/>
        </w:rPr>
        <w:t xml:space="preserve">Предвиђено је да се конкретне активности реализују </w:t>
      </w:r>
      <w:r w:rsidR="00E05823" w:rsidRPr="004831AB">
        <w:rPr>
          <w:rFonts w:ascii="Times New Roman" w:hAnsi="Times New Roman" w:cs="Times New Roman"/>
          <w:sz w:val="24"/>
          <w:szCs w:val="24"/>
          <w:lang w:val="sr-Cyrl-CS"/>
        </w:rPr>
        <w:t>у оквиру следећих пет стубова ЕГД који се односе на Западни Балкан:</w:t>
      </w:r>
    </w:p>
    <w:p w14:paraId="679EAFFA" w14:textId="77777777" w:rsidR="00E05823" w:rsidRPr="004831AB" w:rsidRDefault="008C097D" w:rsidP="00557488">
      <w:pPr>
        <w:pStyle w:val="ListParagraph"/>
        <w:numPr>
          <w:ilvl w:val="0"/>
          <w:numId w:val="26"/>
        </w:numPr>
        <w:tabs>
          <w:tab w:val="left" w:pos="0"/>
          <w:tab w:val="left" w:pos="990"/>
          <w:tab w:val="left" w:pos="1134"/>
        </w:tabs>
        <w:spacing w:after="120" w:line="240" w:lineRule="auto"/>
        <w:ind w:hanging="1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Декарбонизација: к</w:t>
      </w:r>
      <w:r w:rsidR="00E05823" w:rsidRPr="004831AB">
        <w:rPr>
          <w:rFonts w:ascii="Times New Roman" w:hAnsi="Times New Roman" w:cs="Times New Roman"/>
          <w:sz w:val="24"/>
          <w:szCs w:val="24"/>
          <w:lang w:val="sr-Cyrl-CS"/>
        </w:rPr>
        <w:t xml:space="preserve">лима, енергија, мобилност </w:t>
      </w:r>
    </w:p>
    <w:p w14:paraId="4DD1F93D" w14:textId="77777777" w:rsidR="00E05823" w:rsidRPr="004831AB" w:rsidRDefault="00E05823" w:rsidP="00557488">
      <w:pPr>
        <w:pStyle w:val="ListParagraph"/>
        <w:numPr>
          <w:ilvl w:val="0"/>
          <w:numId w:val="26"/>
        </w:numPr>
        <w:tabs>
          <w:tab w:val="left" w:pos="0"/>
          <w:tab w:val="left" w:pos="990"/>
          <w:tab w:val="left" w:pos="1134"/>
        </w:tabs>
        <w:spacing w:after="120" w:line="240" w:lineRule="auto"/>
        <w:ind w:hanging="1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Циркуларна економија </w:t>
      </w:r>
    </w:p>
    <w:p w14:paraId="0B5376D3" w14:textId="77777777" w:rsidR="00E05823" w:rsidRPr="004831AB" w:rsidRDefault="00E05823" w:rsidP="00557488">
      <w:pPr>
        <w:pStyle w:val="ListParagraph"/>
        <w:numPr>
          <w:ilvl w:val="0"/>
          <w:numId w:val="26"/>
        </w:numPr>
        <w:tabs>
          <w:tab w:val="left" w:pos="0"/>
          <w:tab w:val="left" w:pos="990"/>
          <w:tab w:val="left" w:pos="1134"/>
        </w:tabs>
        <w:spacing w:after="120" w:line="240" w:lineRule="auto"/>
        <w:ind w:hanging="1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Смањење загађености ваздуха, воде и земљишта</w:t>
      </w:r>
    </w:p>
    <w:p w14:paraId="1C023214" w14:textId="77777777" w:rsidR="00E05823" w:rsidRPr="004831AB" w:rsidRDefault="00E05823" w:rsidP="00557488">
      <w:pPr>
        <w:pStyle w:val="ListParagraph"/>
        <w:numPr>
          <w:ilvl w:val="0"/>
          <w:numId w:val="26"/>
        </w:numPr>
        <w:tabs>
          <w:tab w:val="left" w:pos="0"/>
          <w:tab w:val="left" w:pos="990"/>
          <w:tab w:val="left" w:pos="1134"/>
        </w:tabs>
        <w:spacing w:after="120" w:line="240" w:lineRule="auto"/>
        <w:ind w:hanging="1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Одрживи системи </w:t>
      </w:r>
      <w:r w:rsidR="008C097D" w:rsidRPr="004831AB">
        <w:rPr>
          <w:rFonts w:ascii="Times New Roman" w:hAnsi="Times New Roman" w:cs="Times New Roman"/>
          <w:sz w:val="24"/>
          <w:szCs w:val="24"/>
          <w:lang w:val="sr-Cyrl-CS"/>
        </w:rPr>
        <w:t xml:space="preserve">производње хране </w:t>
      </w:r>
      <w:r w:rsidRPr="004831AB">
        <w:rPr>
          <w:rFonts w:ascii="Times New Roman" w:hAnsi="Times New Roman" w:cs="Times New Roman"/>
          <w:sz w:val="24"/>
          <w:szCs w:val="24"/>
          <w:lang w:val="sr-Cyrl-CS"/>
        </w:rPr>
        <w:t>и рурална подручја</w:t>
      </w:r>
    </w:p>
    <w:p w14:paraId="1B47F04D" w14:textId="5C1CDF27" w:rsidR="00E05823" w:rsidRPr="004831AB" w:rsidRDefault="008C097D" w:rsidP="00557488">
      <w:pPr>
        <w:pStyle w:val="ListParagraph"/>
        <w:numPr>
          <w:ilvl w:val="0"/>
          <w:numId w:val="26"/>
        </w:numPr>
        <w:tabs>
          <w:tab w:val="left" w:pos="0"/>
          <w:tab w:val="left" w:pos="990"/>
          <w:tab w:val="left" w:pos="1134"/>
        </w:tabs>
        <w:spacing w:after="120" w:line="240" w:lineRule="auto"/>
        <w:ind w:hanging="1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Б</w:t>
      </w:r>
      <w:r w:rsidR="00E05823" w:rsidRPr="004831AB">
        <w:rPr>
          <w:rFonts w:ascii="Times New Roman" w:hAnsi="Times New Roman" w:cs="Times New Roman"/>
          <w:sz w:val="24"/>
          <w:szCs w:val="24"/>
          <w:lang w:val="sr-Cyrl-CS"/>
        </w:rPr>
        <w:t>иодиверзитет</w:t>
      </w:r>
      <w:r w:rsidRPr="004831AB">
        <w:rPr>
          <w:rFonts w:ascii="Times New Roman" w:hAnsi="Times New Roman" w:cs="Times New Roman"/>
          <w:sz w:val="24"/>
          <w:szCs w:val="24"/>
          <w:lang w:val="sr-Cyrl-CS"/>
        </w:rPr>
        <w:t xml:space="preserve">: заштита и </w:t>
      </w:r>
      <w:r w:rsidR="00AD3793" w:rsidRPr="004831AB">
        <w:rPr>
          <w:rFonts w:ascii="Times New Roman" w:hAnsi="Times New Roman" w:cs="Times New Roman"/>
          <w:sz w:val="24"/>
          <w:szCs w:val="24"/>
          <w:lang w:val="sr-Cyrl-CS"/>
        </w:rPr>
        <w:t>обнова</w:t>
      </w:r>
      <w:r w:rsidRPr="004831AB">
        <w:rPr>
          <w:rFonts w:ascii="Times New Roman" w:hAnsi="Times New Roman" w:cs="Times New Roman"/>
          <w:sz w:val="24"/>
          <w:szCs w:val="24"/>
          <w:lang w:val="sr-Cyrl-CS"/>
        </w:rPr>
        <w:t xml:space="preserve"> екосистема</w:t>
      </w:r>
      <w:r w:rsidR="00852BF1" w:rsidRPr="004831AB">
        <w:rPr>
          <w:rFonts w:ascii="Times New Roman" w:hAnsi="Times New Roman" w:cs="Times New Roman"/>
          <w:sz w:val="24"/>
          <w:szCs w:val="24"/>
          <w:lang w:val="sr-Cyrl-CS"/>
        </w:rPr>
        <w:t>.</w:t>
      </w:r>
    </w:p>
    <w:p w14:paraId="31DA74F1" w14:textId="77777777" w:rsidR="00AD3793" w:rsidRPr="004831AB" w:rsidRDefault="00AD3793" w:rsidP="00584997">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Економски и инвестициони план за Западни Балкан</w:t>
      </w:r>
    </w:p>
    <w:p w14:paraId="24C51985" w14:textId="5706A354" w:rsidR="00E05823" w:rsidRPr="004831AB" w:rsidRDefault="005935BD" w:rsidP="00237903">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ab/>
      </w:r>
      <w:r w:rsidR="00324740" w:rsidRPr="004831AB">
        <w:rPr>
          <w:rFonts w:ascii="Times New Roman" w:hAnsi="Times New Roman" w:cs="Times New Roman"/>
          <w:sz w:val="24"/>
          <w:szCs w:val="24"/>
          <w:lang w:val="sr-Cyrl-CS"/>
        </w:rPr>
        <w:t>Истовремено са усвајањем с</w:t>
      </w:r>
      <w:r w:rsidR="00E05823" w:rsidRPr="004831AB">
        <w:rPr>
          <w:rFonts w:ascii="Times New Roman" w:hAnsi="Times New Roman" w:cs="Times New Roman"/>
          <w:sz w:val="24"/>
          <w:szCs w:val="24"/>
          <w:lang w:val="sr-Cyrl-CS"/>
        </w:rPr>
        <w:t>офијске декларације, усвојен је и Економски и инвестици</w:t>
      </w:r>
      <w:r w:rsidR="004A73A8" w:rsidRPr="004831AB">
        <w:rPr>
          <w:rFonts w:ascii="Times New Roman" w:hAnsi="Times New Roman" w:cs="Times New Roman"/>
          <w:sz w:val="24"/>
          <w:szCs w:val="24"/>
          <w:lang w:val="sr-Cyrl-CS"/>
        </w:rPr>
        <w:t xml:space="preserve">они </w:t>
      </w:r>
      <w:r w:rsidR="00E05823" w:rsidRPr="004831AB">
        <w:rPr>
          <w:rFonts w:ascii="Times New Roman" w:hAnsi="Times New Roman" w:cs="Times New Roman"/>
          <w:sz w:val="24"/>
          <w:szCs w:val="24"/>
          <w:lang w:val="sr-Cyrl-CS"/>
        </w:rPr>
        <w:t>план за Западни Балкан, осмишљен да подржи дугорочни зелени друштвено-економски опоравак</w:t>
      </w:r>
      <w:r w:rsidR="00954750" w:rsidRPr="004831AB">
        <w:rPr>
          <w:rFonts w:ascii="Times New Roman" w:hAnsi="Times New Roman" w:cs="Times New Roman"/>
          <w:sz w:val="24"/>
          <w:szCs w:val="24"/>
          <w:lang w:val="sr-Cyrl-CS"/>
        </w:rPr>
        <w:t xml:space="preserve"> региона</w:t>
      </w:r>
      <w:r w:rsidR="00E05823" w:rsidRPr="004831AB">
        <w:rPr>
          <w:rFonts w:ascii="Times New Roman" w:hAnsi="Times New Roman" w:cs="Times New Roman"/>
          <w:sz w:val="24"/>
          <w:szCs w:val="24"/>
          <w:lang w:val="sr-Cyrl-CS"/>
        </w:rPr>
        <w:t xml:space="preserve">. Eкономски и инвестициони план за Западни Балкан </w:t>
      </w:r>
      <w:r w:rsidR="00E05823" w:rsidRPr="004831AB">
        <w:rPr>
          <w:rFonts w:ascii="Times New Roman" w:hAnsi="Times New Roman" w:cs="Times New Roman"/>
          <w:sz w:val="24"/>
          <w:szCs w:val="24"/>
          <w:lang w:val="sr-Cyrl-CS"/>
        </w:rPr>
        <w:lastRenderedPageBreak/>
        <w:t>идентификовао</w:t>
      </w:r>
      <w:r w:rsidR="006768EE" w:rsidRPr="004831AB">
        <w:rPr>
          <w:rFonts w:ascii="Times New Roman" w:hAnsi="Times New Roman" w:cs="Times New Roman"/>
          <w:sz w:val="24"/>
          <w:szCs w:val="24"/>
          <w:lang w:val="sr-Cyrl-CS"/>
        </w:rPr>
        <w:t xml:space="preserve"> је</w:t>
      </w:r>
      <w:r w:rsidR="00324740" w:rsidRPr="004831AB">
        <w:rPr>
          <w:rFonts w:ascii="Times New Roman" w:hAnsi="Times New Roman" w:cs="Times New Roman"/>
          <w:sz w:val="24"/>
          <w:szCs w:val="24"/>
          <w:lang w:val="sr-Cyrl-CS"/>
        </w:rPr>
        <w:t xml:space="preserve"> десет</w:t>
      </w:r>
      <w:r w:rsidR="00E05823" w:rsidRPr="004831AB">
        <w:rPr>
          <w:rFonts w:ascii="Times New Roman" w:hAnsi="Times New Roman" w:cs="Times New Roman"/>
          <w:sz w:val="24"/>
          <w:szCs w:val="24"/>
          <w:lang w:val="sr-Cyrl-CS"/>
        </w:rPr>
        <w:t xml:space="preserve"> кључних области економског развоја</w:t>
      </w:r>
      <w:r w:rsidR="00FE46F1" w:rsidRPr="004831AB">
        <w:rPr>
          <w:rStyle w:val="FootnoteReference"/>
          <w:rFonts w:ascii="Times New Roman" w:hAnsi="Times New Roman" w:cs="Times New Roman"/>
          <w:sz w:val="24"/>
          <w:szCs w:val="24"/>
          <w:lang w:val="sr-Cyrl-CS"/>
        </w:rPr>
        <w:footnoteReference w:id="17"/>
      </w:r>
      <w:r w:rsidR="00AD3793" w:rsidRPr="004831AB">
        <w:rPr>
          <w:rFonts w:ascii="Times New Roman" w:hAnsi="Times New Roman" w:cs="Times New Roman"/>
          <w:sz w:val="24"/>
          <w:szCs w:val="24"/>
          <w:lang w:val="sr-Cyrl-CS"/>
        </w:rPr>
        <w:t xml:space="preserve">, а </w:t>
      </w:r>
      <w:r w:rsidR="00C702A7" w:rsidRPr="004831AB">
        <w:rPr>
          <w:rFonts w:ascii="Times New Roman" w:hAnsi="Times New Roman" w:cs="Times New Roman"/>
          <w:sz w:val="24"/>
          <w:szCs w:val="24"/>
          <w:lang w:val="sr-Cyrl-CS"/>
        </w:rPr>
        <w:t xml:space="preserve"> </w:t>
      </w:r>
      <w:r w:rsidR="00AD3793" w:rsidRPr="004831AB">
        <w:rPr>
          <w:rFonts w:ascii="Times New Roman" w:hAnsi="Times New Roman" w:cs="Times New Roman"/>
          <w:sz w:val="24"/>
          <w:szCs w:val="24"/>
          <w:lang w:val="sr-Cyrl-CS"/>
        </w:rPr>
        <w:t>з</w:t>
      </w:r>
      <w:r w:rsidR="00E05823" w:rsidRPr="004831AB">
        <w:rPr>
          <w:rFonts w:ascii="Times New Roman" w:hAnsi="Times New Roman" w:cs="Times New Roman"/>
          <w:sz w:val="24"/>
          <w:szCs w:val="24"/>
          <w:lang w:val="sr-Cyrl-CS"/>
        </w:rPr>
        <w:t>а</w:t>
      </w:r>
      <w:r w:rsidR="00AD3793" w:rsidRPr="004831AB">
        <w:rPr>
          <w:rFonts w:ascii="Times New Roman" w:hAnsi="Times New Roman" w:cs="Times New Roman"/>
          <w:sz w:val="24"/>
          <w:szCs w:val="24"/>
          <w:lang w:val="sr-Cyrl-CS"/>
        </w:rPr>
        <w:t xml:space="preserve"> његову</w:t>
      </w:r>
      <w:r w:rsidR="00E05823" w:rsidRPr="004831AB">
        <w:rPr>
          <w:rFonts w:ascii="Times New Roman" w:hAnsi="Times New Roman" w:cs="Times New Roman"/>
          <w:sz w:val="24"/>
          <w:szCs w:val="24"/>
          <w:lang w:val="sr-Cyrl-CS"/>
        </w:rPr>
        <w:t xml:space="preserve"> имплементацију предвиђено је до </w:t>
      </w:r>
      <w:r w:rsidR="00833AB1" w:rsidRPr="004831AB">
        <w:rPr>
          <w:rFonts w:ascii="Times New Roman" w:hAnsi="Times New Roman" w:cs="Times New Roman"/>
          <w:sz w:val="24"/>
          <w:szCs w:val="24"/>
          <w:lang w:val="sr-Cyrl-CS"/>
        </w:rPr>
        <w:t xml:space="preserve">девет </w:t>
      </w:r>
      <w:r w:rsidR="00E05823" w:rsidRPr="004831AB">
        <w:rPr>
          <w:rFonts w:ascii="Times New Roman" w:hAnsi="Times New Roman" w:cs="Times New Roman"/>
          <w:sz w:val="24"/>
          <w:szCs w:val="24"/>
          <w:lang w:val="sr-Cyrl-CS"/>
        </w:rPr>
        <w:t>милијарди евра из</w:t>
      </w:r>
      <w:r w:rsidR="00FE46F1" w:rsidRPr="004831AB">
        <w:rPr>
          <w:rFonts w:ascii="Times New Roman" w:hAnsi="Times New Roman" w:cs="Times New Roman"/>
          <w:sz w:val="24"/>
          <w:szCs w:val="24"/>
          <w:lang w:val="sr-Cyrl-CS"/>
        </w:rPr>
        <w:t xml:space="preserve"> Инструмента за претприступну помоћ</w:t>
      </w:r>
      <w:r w:rsidR="00E05823" w:rsidRPr="004831AB">
        <w:rPr>
          <w:rFonts w:ascii="Times New Roman" w:hAnsi="Times New Roman" w:cs="Times New Roman"/>
          <w:sz w:val="24"/>
          <w:szCs w:val="24"/>
          <w:lang w:val="sr-Cyrl-CS"/>
        </w:rPr>
        <w:t xml:space="preserve"> </w:t>
      </w:r>
      <w:r w:rsidR="00FE46F1" w:rsidRPr="004831AB">
        <w:rPr>
          <w:rFonts w:ascii="Times New Roman" w:hAnsi="Times New Roman" w:cs="Times New Roman"/>
          <w:sz w:val="24"/>
          <w:szCs w:val="24"/>
          <w:lang w:val="sr-Cyrl-CS"/>
        </w:rPr>
        <w:t>(</w:t>
      </w:r>
      <w:r w:rsidR="00E05823" w:rsidRPr="004831AB">
        <w:rPr>
          <w:rFonts w:ascii="Times New Roman" w:hAnsi="Times New Roman" w:cs="Times New Roman"/>
          <w:sz w:val="24"/>
          <w:szCs w:val="24"/>
          <w:lang w:val="sr-Cyrl-CS"/>
        </w:rPr>
        <w:t>ИПА</w:t>
      </w:r>
      <w:r w:rsidR="00FE46F1" w:rsidRPr="004831AB">
        <w:rPr>
          <w:rFonts w:ascii="Times New Roman" w:hAnsi="Times New Roman" w:cs="Times New Roman"/>
          <w:sz w:val="24"/>
          <w:szCs w:val="24"/>
          <w:lang w:val="sr-Cyrl-CS"/>
        </w:rPr>
        <w:t>)</w:t>
      </w:r>
      <w:r w:rsidR="00E05823" w:rsidRPr="004831AB">
        <w:rPr>
          <w:rFonts w:ascii="Times New Roman" w:hAnsi="Times New Roman" w:cs="Times New Roman"/>
          <w:sz w:val="24"/>
          <w:szCs w:val="24"/>
          <w:lang w:val="sr-Cyrl-CS"/>
        </w:rPr>
        <w:t xml:space="preserve"> III (2021-2027). Поред осталих, посебно су значајне иницијативе за развој приватног сектора, у оквиру кој</w:t>
      </w:r>
      <w:r w:rsidR="00FE46F1" w:rsidRPr="004831AB">
        <w:rPr>
          <w:rFonts w:ascii="Times New Roman" w:hAnsi="Times New Roman" w:cs="Times New Roman"/>
          <w:sz w:val="24"/>
          <w:szCs w:val="24"/>
          <w:lang w:val="sr-Cyrl-CS"/>
        </w:rPr>
        <w:t>их</w:t>
      </w:r>
      <w:r w:rsidR="00E05823" w:rsidRPr="004831AB">
        <w:rPr>
          <w:rFonts w:ascii="Times New Roman" w:hAnsi="Times New Roman" w:cs="Times New Roman"/>
          <w:sz w:val="24"/>
          <w:szCs w:val="24"/>
          <w:lang w:val="sr-Cyrl-CS"/>
        </w:rPr>
        <w:t xml:space="preserve"> ЕУ </w:t>
      </w:r>
      <w:r w:rsidR="00954750" w:rsidRPr="004831AB">
        <w:rPr>
          <w:rFonts w:ascii="Times New Roman" w:hAnsi="Times New Roman" w:cs="Times New Roman"/>
          <w:sz w:val="24"/>
          <w:szCs w:val="24"/>
          <w:lang w:val="sr-Cyrl-CS"/>
        </w:rPr>
        <w:t xml:space="preserve">планира да повећа </w:t>
      </w:r>
      <w:r w:rsidR="00E05823" w:rsidRPr="004831AB">
        <w:rPr>
          <w:rFonts w:ascii="Times New Roman" w:hAnsi="Times New Roman" w:cs="Times New Roman"/>
          <w:sz w:val="24"/>
          <w:szCs w:val="24"/>
          <w:lang w:val="sr-Cyrl-CS"/>
        </w:rPr>
        <w:t>финансијску подршку за јачање конкурентности микро и малих и средњих предузећа у стратешким секторима и подстица</w:t>
      </w:r>
      <w:r w:rsidR="00954750" w:rsidRPr="004831AB">
        <w:rPr>
          <w:rFonts w:ascii="Times New Roman" w:hAnsi="Times New Roman" w:cs="Times New Roman"/>
          <w:sz w:val="24"/>
          <w:szCs w:val="24"/>
          <w:lang w:val="sr-Cyrl-CS"/>
        </w:rPr>
        <w:t>ње</w:t>
      </w:r>
      <w:r w:rsidR="00E05823" w:rsidRPr="004831AB">
        <w:rPr>
          <w:rFonts w:ascii="Times New Roman" w:hAnsi="Times New Roman" w:cs="Times New Roman"/>
          <w:sz w:val="24"/>
          <w:szCs w:val="24"/>
          <w:lang w:val="sr-Cyrl-CS"/>
        </w:rPr>
        <w:t xml:space="preserve"> зелен</w:t>
      </w:r>
      <w:r w:rsidR="00954750" w:rsidRPr="004831AB">
        <w:rPr>
          <w:rFonts w:ascii="Times New Roman" w:hAnsi="Times New Roman" w:cs="Times New Roman"/>
          <w:sz w:val="24"/>
          <w:szCs w:val="24"/>
          <w:lang w:val="sr-Cyrl-CS"/>
        </w:rPr>
        <w:t>ог</w:t>
      </w:r>
      <w:r w:rsidR="00E05823" w:rsidRPr="004831AB">
        <w:rPr>
          <w:rFonts w:ascii="Times New Roman" w:hAnsi="Times New Roman" w:cs="Times New Roman"/>
          <w:sz w:val="24"/>
          <w:szCs w:val="24"/>
          <w:lang w:val="sr-Cyrl-CS"/>
        </w:rPr>
        <w:t xml:space="preserve"> раст</w:t>
      </w:r>
      <w:r w:rsidR="00954750" w:rsidRPr="004831AB">
        <w:rPr>
          <w:rFonts w:ascii="Times New Roman" w:hAnsi="Times New Roman" w:cs="Times New Roman"/>
          <w:sz w:val="24"/>
          <w:szCs w:val="24"/>
          <w:lang w:val="sr-Cyrl-CS"/>
        </w:rPr>
        <w:t>а</w:t>
      </w:r>
      <w:r w:rsidR="00E05823" w:rsidRPr="004831AB">
        <w:rPr>
          <w:rFonts w:ascii="Times New Roman" w:hAnsi="Times New Roman" w:cs="Times New Roman"/>
          <w:sz w:val="24"/>
          <w:szCs w:val="24"/>
          <w:lang w:val="sr-Cyrl-CS"/>
        </w:rPr>
        <w:t xml:space="preserve"> и циркуларн</w:t>
      </w:r>
      <w:r w:rsidR="00954750" w:rsidRPr="004831AB">
        <w:rPr>
          <w:rFonts w:ascii="Times New Roman" w:hAnsi="Times New Roman" w:cs="Times New Roman"/>
          <w:sz w:val="24"/>
          <w:szCs w:val="24"/>
          <w:lang w:val="sr-Cyrl-CS"/>
        </w:rPr>
        <w:t>е</w:t>
      </w:r>
      <w:r w:rsidR="00E05823" w:rsidRPr="004831AB">
        <w:rPr>
          <w:rFonts w:ascii="Times New Roman" w:hAnsi="Times New Roman" w:cs="Times New Roman"/>
          <w:sz w:val="24"/>
          <w:szCs w:val="24"/>
          <w:lang w:val="sr-Cyrl-CS"/>
        </w:rPr>
        <w:t xml:space="preserve"> економиј</w:t>
      </w:r>
      <w:r w:rsidR="00954750" w:rsidRPr="004831AB">
        <w:rPr>
          <w:rFonts w:ascii="Times New Roman" w:hAnsi="Times New Roman" w:cs="Times New Roman"/>
          <w:sz w:val="24"/>
          <w:szCs w:val="24"/>
          <w:lang w:val="sr-Cyrl-CS"/>
        </w:rPr>
        <w:t>е</w:t>
      </w:r>
      <w:r w:rsidR="00AD3793" w:rsidRPr="004831AB">
        <w:rPr>
          <w:rFonts w:ascii="Times New Roman" w:hAnsi="Times New Roman" w:cs="Times New Roman"/>
          <w:sz w:val="24"/>
          <w:szCs w:val="24"/>
          <w:lang w:val="sr-Cyrl-CS"/>
        </w:rPr>
        <w:t>.</w:t>
      </w:r>
    </w:p>
    <w:p w14:paraId="3870C03C" w14:textId="77777777" w:rsidR="00001A4C" w:rsidRPr="004831AB" w:rsidRDefault="00001A4C" w:rsidP="00524FAE">
      <w:pPr>
        <w:spacing w:after="120" w:line="240" w:lineRule="auto"/>
        <w:jc w:val="both"/>
        <w:rPr>
          <w:rFonts w:ascii="Times New Roman" w:hAnsi="Times New Roman" w:cs="Times New Roman"/>
          <w:iCs/>
          <w:sz w:val="24"/>
          <w:szCs w:val="24"/>
          <w:lang w:val="sr-Cyrl-CS"/>
        </w:rPr>
      </w:pPr>
      <w:r w:rsidRPr="004831AB">
        <w:rPr>
          <w:rFonts w:ascii="Times New Roman" w:hAnsi="Times New Roman" w:cs="Times New Roman"/>
          <w:iCs/>
          <w:sz w:val="24"/>
          <w:szCs w:val="24"/>
          <w:lang w:val="sr-Cyrl-CS"/>
        </w:rPr>
        <w:t>Европске интеграције Републике Србије</w:t>
      </w:r>
    </w:p>
    <w:p w14:paraId="588B8B1F" w14:textId="5AC7D72F" w:rsidR="003201C9" w:rsidRPr="004831AB" w:rsidRDefault="003201C9" w:rsidP="00741006">
      <w:pPr>
        <w:ind w:firstLine="720"/>
        <w:jc w:val="both"/>
        <w:rPr>
          <w:sz w:val="24"/>
          <w:szCs w:val="24"/>
          <w:lang w:val="sr-Cyrl-CS"/>
        </w:rPr>
      </w:pPr>
      <w:r w:rsidRPr="004831AB">
        <w:rPr>
          <w:rFonts w:ascii="Times New Roman" w:hAnsi="Times New Roman" w:cs="Times New Roman"/>
          <w:sz w:val="24"/>
          <w:szCs w:val="24"/>
          <w:lang w:val="sr-Cyrl-CS"/>
        </w:rPr>
        <w:t xml:space="preserve">Споразум о стабилизацији и придруживању </w:t>
      </w:r>
      <w:r w:rsidR="00741006" w:rsidRPr="004831AB">
        <w:rPr>
          <w:rFonts w:ascii="Times New Roman" w:eastAsia="Times New Roman" w:hAnsi="Times New Roman" w:cs="Times New Roman"/>
          <w:bCs/>
          <w:kern w:val="36"/>
          <w:sz w:val="24"/>
          <w:szCs w:val="24"/>
          <w:lang w:val="sr-Cyrl-CS"/>
        </w:rPr>
        <w:t>између Европских заједница и њихових држава чланица, са једне стране, и Републике Србије, са друге стране</w:t>
      </w:r>
      <w:r w:rsidR="00001A4C" w:rsidRPr="004831AB">
        <w:rPr>
          <w:rFonts w:ascii="Times New Roman" w:hAnsi="Times New Roman" w:cs="Times New Roman"/>
          <w:sz w:val="24"/>
          <w:szCs w:val="24"/>
          <w:lang w:val="sr-Cyrl-CS"/>
        </w:rPr>
        <w:t xml:space="preserve"> </w:t>
      </w:r>
      <w:r w:rsidR="00741006" w:rsidRPr="004831AB">
        <w:rPr>
          <w:rFonts w:ascii="Times New Roman" w:hAnsi="Times New Roman" w:cs="Times New Roman"/>
          <w:sz w:val="24"/>
          <w:szCs w:val="24"/>
          <w:lang w:val="sr-Cyrl-CS"/>
        </w:rPr>
        <w:t>(„Службени г</w:t>
      </w:r>
      <w:r w:rsidRPr="004831AB">
        <w:rPr>
          <w:rFonts w:ascii="Times New Roman" w:hAnsi="Times New Roman" w:cs="Times New Roman"/>
          <w:sz w:val="24"/>
          <w:szCs w:val="24"/>
          <w:lang w:val="sr-Cyrl-CS"/>
        </w:rPr>
        <w:t>ласник РС</w:t>
      </w:r>
      <w:r w:rsidR="007E5D5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бр</w:t>
      </w:r>
      <w:r w:rsidR="00541D2B" w:rsidRPr="004831AB">
        <w:rPr>
          <w:rFonts w:ascii="Times New Roman" w:hAnsi="Times New Roman" w:cs="Times New Roman"/>
          <w:sz w:val="24"/>
          <w:szCs w:val="24"/>
          <w:lang w:val="sr-Cyrl-CS"/>
        </w:rPr>
        <w:t>ој</w:t>
      </w:r>
      <w:r w:rsidR="00741006" w:rsidRPr="004831AB">
        <w:rPr>
          <w:rFonts w:ascii="Times New Roman" w:hAnsi="Times New Roman" w:cs="Times New Roman"/>
          <w:sz w:val="24"/>
          <w:szCs w:val="24"/>
          <w:lang w:val="sr-Cyrl-CS"/>
        </w:rPr>
        <w:t xml:space="preserve"> 83/</w:t>
      </w:r>
      <w:r w:rsidRPr="004831AB">
        <w:rPr>
          <w:rFonts w:ascii="Times New Roman" w:hAnsi="Times New Roman" w:cs="Times New Roman"/>
          <w:sz w:val="24"/>
          <w:szCs w:val="24"/>
          <w:lang w:val="sr-Cyrl-CS"/>
        </w:rPr>
        <w:t>08), у члану 95</w:t>
      </w:r>
      <w:r w:rsidR="00843EF1"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r w:rsidR="002F2E67" w:rsidRPr="004831AB">
        <w:rPr>
          <w:rFonts w:ascii="Times New Roman" w:hAnsi="Times New Roman" w:cs="Times New Roman"/>
          <w:sz w:val="24"/>
          <w:szCs w:val="24"/>
          <w:lang w:val="sr-Cyrl-CS"/>
        </w:rPr>
        <w:t>М</w:t>
      </w:r>
      <w:r w:rsidRPr="004831AB">
        <w:rPr>
          <w:rFonts w:ascii="Times New Roman" w:hAnsi="Times New Roman" w:cs="Times New Roman"/>
          <w:sz w:val="24"/>
          <w:szCs w:val="24"/>
          <w:lang w:val="sr-Cyrl-CS"/>
        </w:rPr>
        <w:t xml:space="preserve">ала и средња предузећа, </w:t>
      </w:r>
      <w:r w:rsidR="000F09EF" w:rsidRPr="004831AB">
        <w:rPr>
          <w:rFonts w:ascii="Times New Roman" w:hAnsi="Times New Roman" w:cs="Times New Roman"/>
          <w:sz w:val="24"/>
          <w:szCs w:val="24"/>
          <w:lang w:val="sr-Cyrl-CS"/>
        </w:rPr>
        <w:t xml:space="preserve">дефинише оквире </w:t>
      </w:r>
      <w:r w:rsidRPr="004831AB">
        <w:rPr>
          <w:rFonts w:ascii="Times New Roman" w:hAnsi="Times New Roman" w:cs="Times New Roman"/>
          <w:sz w:val="24"/>
          <w:szCs w:val="24"/>
          <w:lang w:val="sr-Cyrl-CS"/>
        </w:rPr>
        <w:t>сарадњ</w:t>
      </w:r>
      <w:r w:rsidR="000F09EF" w:rsidRPr="004831AB">
        <w:rPr>
          <w:rFonts w:ascii="Times New Roman" w:hAnsi="Times New Roman" w:cs="Times New Roman"/>
          <w:sz w:val="24"/>
          <w:szCs w:val="24"/>
          <w:lang w:val="sr-Cyrl-CS"/>
        </w:rPr>
        <w:t>е</w:t>
      </w:r>
      <w:r w:rsidRPr="004831AB">
        <w:rPr>
          <w:rFonts w:ascii="Times New Roman" w:hAnsi="Times New Roman" w:cs="Times New Roman"/>
          <w:sz w:val="24"/>
          <w:szCs w:val="24"/>
          <w:lang w:val="sr-Cyrl-CS"/>
        </w:rPr>
        <w:t xml:space="preserve"> у овој области</w:t>
      </w:r>
      <w:r w:rsidR="000F09EF" w:rsidRPr="004831AB">
        <w:rPr>
          <w:rFonts w:ascii="Times New Roman" w:hAnsi="Times New Roman" w:cs="Times New Roman"/>
          <w:sz w:val="24"/>
          <w:szCs w:val="24"/>
          <w:lang w:val="sr-Cyrl-CS"/>
        </w:rPr>
        <w:t xml:space="preserve"> и предвиђа</w:t>
      </w:r>
      <w:r w:rsidRPr="004831AB">
        <w:rPr>
          <w:rFonts w:ascii="Times New Roman" w:hAnsi="Times New Roman" w:cs="Times New Roman"/>
          <w:sz w:val="24"/>
          <w:szCs w:val="24"/>
          <w:lang w:val="sr-Cyrl-CS"/>
        </w:rPr>
        <w:t xml:space="preserve"> обавезу Републике Србије </w:t>
      </w:r>
      <w:r w:rsidR="00CC6420" w:rsidRPr="004831AB">
        <w:rPr>
          <w:rFonts w:ascii="Times New Roman" w:hAnsi="Times New Roman" w:cs="Times New Roman"/>
          <w:sz w:val="24"/>
          <w:szCs w:val="24"/>
          <w:lang w:val="sr-Cyrl-CS"/>
        </w:rPr>
        <w:t>да</w:t>
      </w:r>
      <w:r w:rsidR="000F09EF" w:rsidRPr="004831AB">
        <w:rPr>
          <w:rFonts w:ascii="Times New Roman" w:hAnsi="Times New Roman" w:cs="Times New Roman"/>
          <w:sz w:val="24"/>
          <w:szCs w:val="24"/>
          <w:lang w:val="sr-Cyrl-CS"/>
        </w:rPr>
        <w:t xml:space="preserve"> приликом дефинисања политика у овој области</w:t>
      </w:r>
      <w:r w:rsidR="00CC6420" w:rsidRPr="004831AB">
        <w:rPr>
          <w:rFonts w:ascii="Times New Roman" w:hAnsi="Times New Roman" w:cs="Times New Roman"/>
          <w:sz w:val="24"/>
          <w:szCs w:val="24"/>
          <w:lang w:val="sr-Cyrl-CS"/>
        </w:rPr>
        <w:t xml:space="preserve"> у обзир узима </w:t>
      </w:r>
      <w:r w:rsidRPr="004831AB">
        <w:rPr>
          <w:rFonts w:ascii="Times New Roman" w:hAnsi="Times New Roman" w:cs="Times New Roman"/>
          <w:sz w:val="24"/>
          <w:szCs w:val="24"/>
          <w:lang w:val="sr-Cyrl-CS"/>
        </w:rPr>
        <w:t xml:space="preserve">приоритетне области из правних тековина </w:t>
      </w:r>
      <w:r w:rsidR="00D35B94" w:rsidRPr="004831AB">
        <w:rPr>
          <w:rFonts w:ascii="Times New Roman" w:hAnsi="Times New Roman" w:cs="Times New Roman"/>
          <w:sz w:val="24"/>
          <w:szCs w:val="24"/>
          <w:lang w:val="sr-Cyrl-CS"/>
        </w:rPr>
        <w:t>ЕУ</w:t>
      </w:r>
      <w:r w:rsidR="00CC6420" w:rsidRPr="004831AB">
        <w:rPr>
          <w:rFonts w:ascii="Times New Roman" w:hAnsi="Times New Roman" w:cs="Times New Roman"/>
          <w:sz w:val="24"/>
          <w:szCs w:val="24"/>
          <w:lang w:val="sr-Cyrl-CS"/>
        </w:rPr>
        <w:t>.</w:t>
      </w:r>
    </w:p>
    <w:p w14:paraId="7C650F7B" w14:textId="61D6381A" w:rsidR="00587B8B" w:rsidRPr="004831AB" w:rsidRDefault="000F09EF" w:rsidP="005935BD">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Република Србија је статус кандидата за чланство у ЕУ стекла 2012. године, а приступни преговори отворени су на Међувладиној конференцији у јануару 2014. године. У оквиру преговора о чланству Републике Србије у ЕУ, </w:t>
      </w:r>
      <w:r w:rsidRPr="004831AB" w:rsidDel="000F09EF">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област подршке развоју МСПП налази се у оквиру п</w:t>
      </w:r>
      <w:r w:rsidR="00CC6420" w:rsidRPr="004831AB">
        <w:rPr>
          <w:rFonts w:ascii="Times New Roman" w:hAnsi="Times New Roman" w:cs="Times New Roman"/>
          <w:sz w:val="24"/>
          <w:szCs w:val="24"/>
          <w:lang w:val="sr-Cyrl-CS"/>
        </w:rPr>
        <w:t>оглављ</w:t>
      </w:r>
      <w:r w:rsidRPr="004831AB">
        <w:rPr>
          <w:rFonts w:ascii="Times New Roman" w:hAnsi="Times New Roman" w:cs="Times New Roman"/>
          <w:sz w:val="24"/>
          <w:szCs w:val="24"/>
          <w:lang w:val="sr-Cyrl-CS"/>
        </w:rPr>
        <w:t>а</w:t>
      </w:r>
      <w:r w:rsidR="00CC6420" w:rsidRPr="004831AB">
        <w:rPr>
          <w:rFonts w:ascii="Times New Roman" w:hAnsi="Times New Roman" w:cs="Times New Roman"/>
          <w:sz w:val="24"/>
          <w:szCs w:val="24"/>
          <w:lang w:val="sr-Cyrl-CS"/>
        </w:rPr>
        <w:t xml:space="preserve"> 20 „Предузетништво и индустријска политика</w:t>
      </w:r>
      <w:r w:rsidR="007E5D5C" w:rsidRPr="004831AB">
        <w:rPr>
          <w:rFonts w:ascii="Times New Roman" w:hAnsi="Times New Roman" w:cs="Times New Roman"/>
          <w:sz w:val="24"/>
          <w:szCs w:val="24"/>
          <w:lang w:val="sr-Cyrl-CS"/>
        </w:rPr>
        <w:t>”</w:t>
      </w:r>
      <w:r w:rsidR="00FA1646" w:rsidRPr="004831AB">
        <w:rPr>
          <w:rFonts w:ascii="Times New Roman" w:hAnsi="Times New Roman" w:cs="Times New Roman"/>
          <w:sz w:val="24"/>
          <w:szCs w:val="24"/>
          <w:lang w:val="sr-Cyrl-CS"/>
        </w:rPr>
        <w:t>, које је међу првима отворено.</w:t>
      </w:r>
      <w:r w:rsidRPr="004831AB">
        <w:rPr>
          <w:rFonts w:ascii="Times New Roman" w:hAnsi="Times New Roman" w:cs="Times New Roman"/>
          <w:sz w:val="24"/>
          <w:szCs w:val="24"/>
          <w:lang w:val="sr-Cyrl-CS"/>
        </w:rPr>
        <w:t xml:space="preserve"> </w:t>
      </w:r>
      <w:r w:rsidR="00115CB7" w:rsidRPr="004831AB">
        <w:rPr>
          <w:rFonts w:ascii="Times New Roman" w:hAnsi="Times New Roman" w:cs="Times New Roman"/>
          <w:sz w:val="24"/>
          <w:szCs w:val="24"/>
          <w:lang w:val="sr-Cyrl-CS"/>
        </w:rPr>
        <w:t xml:space="preserve">У </w:t>
      </w:r>
      <w:r w:rsidR="00291330" w:rsidRPr="004831AB">
        <w:rPr>
          <w:rFonts w:ascii="Times New Roman" w:hAnsi="Times New Roman" w:cs="Times New Roman"/>
          <w:sz w:val="24"/>
          <w:szCs w:val="24"/>
          <w:lang w:val="sr-Cyrl-CS"/>
        </w:rPr>
        <w:t>Извештају</w:t>
      </w:r>
      <w:r w:rsidRPr="004831AB">
        <w:rPr>
          <w:rFonts w:ascii="Times New Roman" w:hAnsi="Times New Roman" w:cs="Times New Roman"/>
          <w:sz w:val="24"/>
          <w:szCs w:val="24"/>
          <w:lang w:val="sr-Cyrl-CS"/>
        </w:rPr>
        <w:t xml:space="preserve"> о напретку</w:t>
      </w:r>
      <w:r w:rsidR="00291330" w:rsidRPr="004831AB">
        <w:rPr>
          <w:rFonts w:ascii="Times New Roman" w:hAnsi="Times New Roman" w:cs="Times New Roman"/>
          <w:sz w:val="24"/>
          <w:szCs w:val="24"/>
          <w:lang w:val="sr-Cyrl-CS"/>
        </w:rPr>
        <w:t xml:space="preserve"> </w:t>
      </w:r>
      <w:r w:rsidR="00115CB7" w:rsidRPr="004831AB">
        <w:rPr>
          <w:rFonts w:ascii="Times New Roman" w:hAnsi="Times New Roman" w:cs="Times New Roman"/>
          <w:sz w:val="24"/>
          <w:szCs w:val="24"/>
          <w:lang w:val="sr-Cyrl-CS"/>
        </w:rPr>
        <w:t>за 2022. годину</w:t>
      </w:r>
      <w:r w:rsidR="00115CB7" w:rsidRPr="004831AB">
        <w:rPr>
          <w:rStyle w:val="FootnoteReference"/>
          <w:rFonts w:ascii="Times New Roman" w:hAnsi="Times New Roman" w:cs="Times New Roman"/>
          <w:sz w:val="24"/>
          <w:szCs w:val="24"/>
          <w:lang w:val="sr-Cyrl-CS"/>
        </w:rPr>
        <w:footnoteReference w:id="18"/>
      </w:r>
      <w:r w:rsidR="00291330" w:rsidRPr="004831AB">
        <w:rPr>
          <w:rFonts w:ascii="Times New Roman" w:hAnsi="Times New Roman" w:cs="Times New Roman"/>
          <w:sz w:val="24"/>
          <w:szCs w:val="24"/>
          <w:lang w:val="sr-Cyrl-CS"/>
        </w:rPr>
        <w:t>, Европска комисија (ЕК) констатује да је Република Србија у оквиру Поглавља 20 остварила умерени ниво спремности, као и одређени напредак у односу на претходни извештај из 2021. године</w:t>
      </w:r>
      <w:r w:rsidR="00A119AF" w:rsidRPr="004831AB">
        <w:rPr>
          <w:rFonts w:ascii="Times New Roman" w:hAnsi="Times New Roman" w:cs="Times New Roman"/>
          <w:sz w:val="24"/>
          <w:szCs w:val="24"/>
          <w:lang w:val="sr-Cyrl-CS"/>
        </w:rPr>
        <w:t xml:space="preserve"> и даје три</w:t>
      </w:r>
      <w:r w:rsidR="00FA1646" w:rsidRPr="004831AB">
        <w:rPr>
          <w:rFonts w:ascii="Times New Roman" w:hAnsi="Times New Roman" w:cs="Times New Roman"/>
          <w:sz w:val="24"/>
          <w:szCs w:val="24"/>
          <w:lang w:val="sr-Cyrl-CS"/>
        </w:rPr>
        <w:t xml:space="preserve"> препоруке</w:t>
      </w:r>
      <w:r w:rsidR="00A119AF" w:rsidRPr="004831AB">
        <w:rPr>
          <w:rFonts w:ascii="Times New Roman" w:hAnsi="Times New Roman" w:cs="Times New Roman"/>
          <w:sz w:val="24"/>
          <w:szCs w:val="24"/>
          <w:lang w:val="sr-Cyrl-CS"/>
        </w:rPr>
        <w:t>,</w:t>
      </w:r>
      <w:r w:rsidR="00FA1646" w:rsidRPr="004831AB">
        <w:rPr>
          <w:rFonts w:ascii="Times New Roman" w:hAnsi="Times New Roman" w:cs="Times New Roman"/>
          <w:sz w:val="24"/>
          <w:szCs w:val="24"/>
          <w:lang w:val="sr-Cyrl-CS"/>
        </w:rPr>
        <w:t xml:space="preserve"> и то да се: </w:t>
      </w:r>
      <w:r w:rsidR="00291330" w:rsidRPr="004831AB">
        <w:rPr>
          <w:rFonts w:ascii="Times New Roman" w:hAnsi="Times New Roman" w:cs="Times New Roman"/>
          <w:sz w:val="24"/>
          <w:szCs w:val="24"/>
          <w:lang w:val="sr-Cyrl-CS"/>
        </w:rPr>
        <w:t xml:space="preserve"> </w:t>
      </w:r>
    </w:p>
    <w:p w14:paraId="4C0FDF1D" w14:textId="62EB3F30" w:rsidR="00587B8B" w:rsidRPr="004831AB" w:rsidRDefault="000841D4" w:rsidP="000841D4">
      <w:pPr>
        <w:pStyle w:val="ListParagraph"/>
        <w:numPr>
          <w:ilvl w:val="0"/>
          <w:numId w:val="29"/>
        </w:numPr>
        <w:tabs>
          <w:tab w:val="left" w:pos="993"/>
        </w:tabs>
        <w:spacing w:after="12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н</w:t>
      </w:r>
      <w:r w:rsidR="00587B8B" w:rsidRPr="004831AB">
        <w:rPr>
          <w:rFonts w:ascii="Times New Roman" w:hAnsi="Times New Roman" w:cs="Times New Roman"/>
          <w:sz w:val="24"/>
          <w:szCs w:val="24"/>
          <w:lang w:val="sr-Cyrl-CS"/>
        </w:rPr>
        <w:t xml:space="preserve">астави са напорима да </w:t>
      </w:r>
      <w:r w:rsidR="0068766A" w:rsidRPr="004831AB">
        <w:rPr>
          <w:rFonts w:ascii="Times New Roman" w:hAnsi="Times New Roman" w:cs="Times New Roman"/>
          <w:sz w:val="24"/>
          <w:szCs w:val="24"/>
          <w:lang w:val="sr-Cyrl-CS"/>
        </w:rPr>
        <w:t xml:space="preserve">унапреди предвидивост пословног окружења, а пре свега да осигура директну укљученост привреде у процесе доношења закона и јавних политика; </w:t>
      </w:r>
    </w:p>
    <w:p w14:paraId="17EF3813" w14:textId="3CE2D4A1" w:rsidR="00587B8B" w:rsidRPr="004831AB" w:rsidRDefault="000841D4" w:rsidP="000841D4">
      <w:pPr>
        <w:pStyle w:val="ListParagraph"/>
        <w:numPr>
          <w:ilvl w:val="0"/>
          <w:numId w:val="29"/>
        </w:numPr>
        <w:tabs>
          <w:tab w:val="left" w:pos="993"/>
        </w:tabs>
        <w:spacing w:after="12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донесе нова Стратегија</w:t>
      </w:r>
      <w:r w:rsidR="0068766A" w:rsidRPr="004831AB">
        <w:rPr>
          <w:rFonts w:ascii="Times New Roman" w:hAnsi="Times New Roman" w:cs="Times New Roman"/>
          <w:sz w:val="24"/>
          <w:szCs w:val="24"/>
          <w:lang w:val="sr-Cyrl-CS"/>
        </w:rPr>
        <w:t xml:space="preserve"> развоја МСП и предузетништва;  </w:t>
      </w:r>
    </w:p>
    <w:p w14:paraId="4F46F0E4" w14:textId="0E2B2527" w:rsidR="00587B8B" w:rsidRPr="004831AB" w:rsidRDefault="000841D4" w:rsidP="000841D4">
      <w:pPr>
        <w:pStyle w:val="ListParagraph"/>
        <w:numPr>
          <w:ilvl w:val="0"/>
          <w:numId w:val="29"/>
        </w:numPr>
        <w:tabs>
          <w:tab w:val="left" w:pos="993"/>
        </w:tabs>
        <w:spacing w:after="12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р</w:t>
      </w:r>
      <w:r w:rsidR="0068766A" w:rsidRPr="004831AB">
        <w:rPr>
          <w:rFonts w:ascii="Times New Roman" w:hAnsi="Times New Roman" w:cs="Times New Roman"/>
          <w:sz w:val="24"/>
          <w:szCs w:val="24"/>
          <w:lang w:val="sr-Cyrl-CS"/>
        </w:rPr>
        <w:t>еалоцира</w:t>
      </w:r>
      <w:r w:rsidR="00FA1646" w:rsidRPr="004831AB">
        <w:rPr>
          <w:rFonts w:ascii="Times New Roman" w:hAnsi="Times New Roman" w:cs="Times New Roman"/>
          <w:sz w:val="24"/>
          <w:szCs w:val="24"/>
          <w:lang w:val="sr-Cyrl-CS"/>
        </w:rPr>
        <w:t>ју</w:t>
      </w:r>
      <w:r w:rsidR="0068766A" w:rsidRPr="004831AB">
        <w:rPr>
          <w:rFonts w:ascii="Times New Roman" w:hAnsi="Times New Roman" w:cs="Times New Roman"/>
          <w:sz w:val="24"/>
          <w:szCs w:val="24"/>
          <w:lang w:val="sr-Cyrl-CS"/>
        </w:rPr>
        <w:t xml:space="preserve"> буџетска средства са подстицаја страним директним инвестицијама на финансијску и стручну подршку МСПП.</w:t>
      </w:r>
      <w:r w:rsidR="0068766A" w:rsidRPr="004831AB">
        <w:rPr>
          <w:rStyle w:val="FootnoteReference"/>
          <w:rFonts w:ascii="Times New Roman" w:hAnsi="Times New Roman" w:cs="Times New Roman"/>
          <w:sz w:val="24"/>
          <w:szCs w:val="24"/>
          <w:lang w:val="sr-Cyrl-CS"/>
        </w:rPr>
        <w:footnoteReference w:id="19"/>
      </w:r>
    </w:p>
    <w:p w14:paraId="6F94394F" w14:textId="7E1ED079" w:rsidR="008C6478" w:rsidRPr="004831AB" w:rsidRDefault="005935BD" w:rsidP="00524FAE">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4A73A8" w:rsidRPr="004831AB">
        <w:rPr>
          <w:rFonts w:ascii="Times New Roman" w:hAnsi="Times New Roman" w:cs="Times New Roman"/>
          <w:sz w:val="24"/>
          <w:szCs w:val="24"/>
          <w:lang w:val="sr-Cyrl-CS"/>
        </w:rPr>
        <w:t>Република Србија учествује у регионалном процесу праћења спровођења европског оквира политике МСПП за Западни Балкан</w:t>
      </w:r>
      <w:r w:rsidR="008C6478" w:rsidRPr="004831AB">
        <w:rPr>
          <w:rFonts w:ascii="Times New Roman" w:hAnsi="Times New Roman" w:cs="Times New Roman"/>
          <w:sz w:val="24"/>
          <w:szCs w:val="24"/>
          <w:lang w:val="sr-Cyrl-CS"/>
        </w:rPr>
        <w:t xml:space="preserve"> и Турску</w:t>
      </w:r>
      <w:r w:rsidR="004A73A8" w:rsidRPr="004831AB">
        <w:rPr>
          <w:rFonts w:ascii="Times New Roman" w:hAnsi="Times New Roman" w:cs="Times New Roman"/>
          <w:sz w:val="24"/>
          <w:szCs w:val="24"/>
          <w:lang w:val="sr-Cyrl-CS"/>
        </w:rPr>
        <w:t xml:space="preserve"> – Индекс политике МСП (SME Policy Index)</w:t>
      </w:r>
      <w:r w:rsidR="00FA1646" w:rsidRPr="004831AB">
        <w:rPr>
          <w:rFonts w:ascii="Times New Roman" w:hAnsi="Times New Roman" w:cs="Times New Roman"/>
          <w:sz w:val="24"/>
          <w:szCs w:val="24"/>
          <w:lang w:val="sr-Cyrl-CS"/>
        </w:rPr>
        <w:t xml:space="preserve">, </w:t>
      </w:r>
      <w:r w:rsidR="004A73A8" w:rsidRPr="004831AB">
        <w:rPr>
          <w:rStyle w:val="FootnoteReference"/>
          <w:rFonts w:ascii="Times New Roman" w:hAnsi="Times New Roman" w:cs="Times New Roman"/>
          <w:sz w:val="24"/>
          <w:szCs w:val="24"/>
          <w:lang w:val="sr-Cyrl-CS"/>
        </w:rPr>
        <w:footnoteReference w:id="20"/>
      </w:r>
      <w:r w:rsidR="004A73A8" w:rsidRPr="004831AB">
        <w:rPr>
          <w:rFonts w:ascii="Times New Roman" w:hAnsi="Times New Roman" w:cs="Times New Roman"/>
          <w:sz w:val="24"/>
          <w:szCs w:val="24"/>
          <w:lang w:val="sr-Cyrl-CS"/>
        </w:rPr>
        <w:t xml:space="preserve"> </w:t>
      </w:r>
      <w:r w:rsidR="00FA1646" w:rsidRPr="004831AB">
        <w:rPr>
          <w:rFonts w:ascii="Times New Roman" w:hAnsi="Times New Roman" w:cs="Times New Roman"/>
          <w:sz w:val="24"/>
          <w:szCs w:val="24"/>
          <w:lang w:val="sr-Cyrl-CS"/>
        </w:rPr>
        <w:t>који</w:t>
      </w:r>
      <w:r w:rsidR="004A73A8" w:rsidRPr="004831AB">
        <w:rPr>
          <w:rFonts w:ascii="Times New Roman" w:hAnsi="Times New Roman" w:cs="Times New Roman"/>
          <w:sz w:val="24"/>
          <w:szCs w:val="24"/>
          <w:lang w:val="sr-Cyrl-CS"/>
        </w:rPr>
        <w:t xml:space="preserve"> заједнички </w:t>
      </w:r>
      <w:r w:rsidR="0066608C" w:rsidRPr="004831AB">
        <w:rPr>
          <w:rFonts w:ascii="Times New Roman" w:hAnsi="Times New Roman" w:cs="Times New Roman"/>
          <w:sz w:val="24"/>
          <w:szCs w:val="24"/>
          <w:lang w:val="sr-Cyrl-CS"/>
        </w:rPr>
        <w:t xml:space="preserve">воде </w:t>
      </w:r>
      <w:r w:rsidR="004A73A8" w:rsidRPr="004831AB">
        <w:rPr>
          <w:rFonts w:ascii="Times New Roman" w:hAnsi="Times New Roman" w:cs="Times New Roman"/>
          <w:sz w:val="24"/>
          <w:szCs w:val="24"/>
          <w:lang w:val="sr-Cyrl-CS"/>
        </w:rPr>
        <w:t>Организација за економску сарадњу и развој (ОЕЦД), ЕК, Европск</w:t>
      </w:r>
      <w:r w:rsidR="00F128E0" w:rsidRPr="004831AB">
        <w:rPr>
          <w:rFonts w:ascii="Times New Roman" w:hAnsi="Times New Roman" w:cs="Times New Roman"/>
          <w:sz w:val="24"/>
          <w:szCs w:val="24"/>
          <w:lang w:val="sr-Cyrl-CS"/>
        </w:rPr>
        <w:t>а</w:t>
      </w:r>
      <w:r w:rsidR="004A73A8" w:rsidRPr="004831AB">
        <w:rPr>
          <w:rFonts w:ascii="Times New Roman" w:hAnsi="Times New Roman" w:cs="Times New Roman"/>
          <w:sz w:val="24"/>
          <w:szCs w:val="24"/>
          <w:lang w:val="sr-Cyrl-CS"/>
        </w:rPr>
        <w:t xml:space="preserve"> тренинг фондација (ЕТФ) и Европска банка за обнову и развој (ЕБРД)</w:t>
      </w:r>
      <w:r w:rsidR="00F128E0" w:rsidRPr="004831AB">
        <w:rPr>
          <w:rFonts w:ascii="Times New Roman" w:hAnsi="Times New Roman" w:cs="Times New Roman"/>
          <w:sz w:val="24"/>
          <w:szCs w:val="24"/>
          <w:lang w:val="sr-Cyrl-CS"/>
        </w:rPr>
        <w:t xml:space="preserve">, </w:t>
      </w:r>
      <w:r w:rsidR="00FA1646" w:rsidRPr="004831AB">
        <w:rPr>
          <w:rFonts w:ascii="Times New Roman" w:hAnsi="Times New Roman" w:cs="Times New Roman"/>
          <w:sz w:val="24"/>
          <w:szCs w:val="24"/>
          <w:lang w:val="sr-Cyrl-CS"/>
        </w:rPr>
        <w:t>у блиској сарадњи са представницима јавног сектора и заинтересованих страна са Западног Балкана и Турске. Овај инструмент</w:t>
      </w:r>
      <w:r w:rsidR="00F128E0" w:rsidRPr="004831AB">
        <w:rPr>
          <w:rFonts w:ascii="Times New Roman" w:hAnsi="Times New Roman" w:cs="Times New Roman"/>
          <w:sz w:val="24"/>
          <w:szCs w:val="24"/>
          <w:lang w:val="sr-Cyrl-CS"/>
        </w:rPr>
        <w:t xml:space="preserve"> осмишљен је 2006. године </w:t>
      </w:r>
      <w:r w:rsidR="00FA1646" w:rsidRPr="004831AB">
        <w:rPr>
          <w:rFonts w:ascii="Times New Roman" w:hAnsi="Times New Roman" w:cs="Times New Roman"/>
          <w:sz w:val="24"/>
          <w:szCs w:val="24"/>
          <w:lang w:val="sr-Cyrl-CS"/>
        </w:rPr>
        <w:t xml:space="preserve">у циљу </w:t>
      </w:r>
      <w:r w:rsidR="00F128E0" w:rsidRPr="004831AB">
        <w:rPr>
          <w:rFonts w:ascii="Times New Roman" w:hAnsi="Times New Roman" w:cs="Times New Roman"/>
          <w:sz w:val="24"/>
          <w:szCs w:val="24"/>
          <w:lang w:val="sr-Cyrl-CS"/>
        </w:rPr>
        <w:t xml:space="preserve">праћења спровођења Европске повеље о малим предузећима, а </w:t>
      </w:r>
      <w:r w:rsidR="00FA1646" w:rsidRPr="004831AB">
        <w:rPr>
          <w:rFonts w:ascii="Times New Roman" w:hAnsi="Times New Roman" w:cs="Times New Roman"/>
          <w:sz w:val="24"/>
          <w:szCs w:val="24"/>
          <w:lang w:val="sr-Cyrl-CS"/>
        </w:rPr>
        <w:t xml:space="preserve">касније је </w:t>
      </w:r>
      <w:r w:rsidR="00F128E0" w:rsidRPr="004831AB">
        <w:rPr>
          <w:rFonts w:ascii="Times New Roman" w:hAnsi="Times New Roman" w:cs="Times New Roman"/>
          <w:sz w:val="24"/>
          <w:szCs w:val="24"/>
          <w:lang w:val="sr-Cyrl-CS"/>
        </w:rPr>
        <w:t xml:space="preserve">прилагођен </w:t>
      </w:r>
      <w:r w:rsidR="00FA1646" w:rsidRPr="004831AB">
        <w:rPr>
          <w:rFonts w:ascii="Times New Roman" w:hAnsi="Times New Roman" w:cs="Times New Roman"/>
          <w:sz w:val="24"/>
          <w:szCs w:val="24"/>
          <w:lang w:val="sr-Cyrl-CS"/>
        </w:rPr>
        <w:t xml:space="preserve">да прати имплементацију десет принципа </w:t>
      </w:r>
      <w:r w:rsidR="00F128E0" w:rsidRPr="004831AB">
        <w:rPr>
          <w:rFonts w:ascii="Times New Roman" w:hAnsi="Times New Roman" w:cs="Times New Roman"/>
          <w:sz w:val="24"/>
          <w:szCs w:val="24"/>
          <w:lang w:val="sr-Cyrl-CS"/>
        </w:rPr>
        <w:t xml:space="preserve">СБА. </w:t>
      </w:r>
      <w:r w:rsidR="008C6478" w:rsidRPr="004831AB">
        <w:rPr>
          <w:rFonts w:ascii="Times New Roman" w:hAnsi="Times New Roman" w:cs="Times New Roman"/>
          <w:sz w:val="24"/>
          <w:szCs w:val="24"/>
          <w:lang w:val="sr-Cyrl-CS"/>
        </w:rPr>
        <w:t xml:space="preserve">Последње, шесто издање </w:t>
      </w:r>
      <w:r w:rsidR="00FA1646" w:rsidRPr="004831AB">
        <w:rPr>
          <w:rFonts w:ascii="Times New Roman" w:hAnsi="Times New Roman" w:cs="Times New Roman"/>
          <w:sz w:val="24"/>
          <w:szCs w:val="24"/>
          <w:lang w:val="sr-Cyrl-CS"/>
        </w:rPr>
        <w:t xml:space="preserve">извештаја </w:t>
      </w:r>
      <w:r w:rsidR="004E388D" w:rsidRPr="004831AB">
        <w:rPr>
          <w:rFonts w:ascii="Times New Roman" w:hAnsi="Times New Roman" w:cs="Times New Roman"/>
          <w:sz w:val="24"/>
          <w:szCs w:val="24"/>
          <w:lang w:val="sr-Cyrl-CS"/>
        </w:rPr>
        <w:t>покрива период 2019 – 2021. године</w:t>
      </w:r>
      <w:r w:rsidR="008C6478" w:rsidRPr="004831AB">
        <w:rPr>
          <w:rFonts w:ascii="Times New Roman" w:hAnsi="Times New Roman" w:cs="Times New Roman"/>
          <w:sz w:val="24"/>
          <w:szCs w:val="24"/>
          <w:lang w:val="sr-Cyrl-CS"/>
        </w:rPr>
        <w:t xml:space="preserve"> </w:t>
      </w:r>
      <w:r w:rsidR="00FA1646" w:rsidRPr="004831AB">
        <w:rPr>
          <w:rFonts w:ascii="Times New Roman" w:hAnsi="Times New Roman" w:cs="Times New Roman"/>
          <w:sz w:val="24"/>
          <w:szCs w:val="24"/>
          <w:lang w:val="sr-Cyrl-CS"/>
        </w:rPr>
        <w:t>и</w:t>
      </w:r>
      <w:r w:rsidR="0066608C" w:rsidRPr="004831AB">
        <w:rPr>
          <w:rFonts w:ascii="Times New Roman" w:hAnsi="Times New Roman" w:cs="Times New Roman"/>
          <w:sz w:val="24"/>
          <w:szCs w:val="24"/>
          <w:lang w:val="sr-Cyrl-CS"/>
        </w:rPr>
        <w:t xml:space="preserve"> такође се </w:t>
      </w:r>
      <w:r w:rsidR="00A86778" w:rsidRPr="004831AB">
        <w:rPr>
          <w:rFonts w:ascii="Times New Roman" w:hAnsi="Times New Roman" w:cs="Times New Roman"/>
          <w:sz w:val="24"/>
          <w:szCs w:val="24"/>
          <w:lang w:val="sr-Cyrl-CS"/>
        </w:rPr>
        <w:t>заснива на праћењу спровођења десет</w:t>
      </w:r>
      <w:r w:rsidR="0066608C" w:rsidRPr="004831AB">
        <w:rPr>
          <w:rFonts w:ascii="Times New Roman" w:hAnsi="Times New Roman" w:cs="Times New Roman"/>
          <w:sz w:val="24"/>
          <w:szCs w:val="24"/>
          <w:lang w:val="sr-Cyrl-CS"/>
        </w:rPr>
        <w:t xml:space="preserve"> принципа </w:t>
      </w:r>
      <w:r w:rsidR="004A73A8" w:rsidRPr="004831AB">
        <w:rPr>
          <w:rFonts w:ascii="Times New Roman" w:hAnsi="Times New Roman" w:cs="Times New Roman"/>
          <w:sz w:val="24"/>
          <w:szCs w:val="24"/>
          <w:lang w:val="sr-Cyrl-CS"/>
        </w:rPr>
        <w:t xml:space="preserve">СБА </w:t>
      </w:r>
      <w:r w:rsidR="006B3C5F" w:rsidRPr="004831AB">
        <w:rPr>
          <w:rStyle w:val="FootnoteReference"/>
          <w:rFonts w:ascii="Times New Roman" w:hAnsi="Times New Roman" w:cs="Times New Roman"/>
          <w:sz w:val="24"/>
          <w:szCs w:val="24"/>
          <w:lang w:val="sr-Cyrl-CS"/>
        </w:rPr>
        <w:footnoteReference w:id="21"/>
      </w:r>
      <w:r w:rsidR="0066608C" w:rsidRPr="004831AB">
        <w:rPr>
          <w:rFonts w:ascii="Times New Roman" w:hAnsi="Times New Roman" w:cs="Times New Roman"/>
          <w:sz w:val="24"/>
          <w:szCs w:val="24"/>
          <w:lang w:val="sr-Cyrl-CS"/>
        </w:rPr>
        <w:t>, а сумарни резултати за Републику Србију приказани су на Слици 1.</w:t>
      </w:r>
      <w:r w:rsidR="008C6478" w:rsidRPr="004831AB">
        <w:rPr>
          <w:rFonts w:ascii="Times New Roman" w:hAnsi="Times New Roman" w:cs="Times New Roman"/>
          <w:sz w:val="24"/>
          <w:szCs w:val="24"/>
          <w:lang w:val="sr-Cyrl-CS"/>
        </w:rPr>
        <w:t xml:space="preserve"> </w:t>
      </w:r>
    </w:p>
    <w:p w14:paraId="24678DC7" w14:textId="77777777" w:rsidR="00B36CF0" w:rsidRPr="004831AB" w:rsidRDefault="00B36CF0" w:rsidP="00524FAE">
      <w:pPr>
        <w:tabs>
          <w:tab w:val="left" w:pos="0"/>
          <w:tab w:val="left" w:pos="990"/>
        </w:tabs>
        <w:spacing w:after="120" w:line="240" w:lineRule="auto"/>
        <w:jc w:val="both"/>
        <w:rPr>
          <w:rFonts w:ascii="Times New Roman" w:hAnsi="Times New Roman" w:cs="Times New Roman"/>
          <w:sz w:val="24"/>
          <w:szCs w:val="24"/>
          <w:lang w:val="sr-Cyrl-CS"/>
        </w:rPr>
      </w:pPr>
    </w:p>
    <w:p w14:paraId="33B6CB5C" w14:textId="77777777" w:rsidR="00C563F4" w:rsidRPr="004831AB" w:rsidRDefault="00524FAE" w:rsidP="004A73A8">
      <w:pPr>
        <w:tabs>
          <w:tab w:val="left" w:pos="0"/>
          <w:tab w:val="left" w:pos="990"/>
        </w:tabs>
        <w:spacing w:after="120" w:line="240" w:lineRule="auto"/>
        <w:jc w:val="both"/>
        <w:rPr>
          <w:rFonts w:ascii="Times New Roman" w:hAnsi="Times New Roman" w:cs="Times New Roman"/>
          <w:sz w:val="24"/>
          <w:szCs w:val="24"/>
          <w:lang w:val="sr-Cyrl-CS"/>
        </w:rPr>
      </w:pPr>
      <w:r w:rsidRPr="004831AB">
        <w:rPr>
          <w:noProof/>
        </w:rPr>
        <w:drawing>
          <wp:anchor distT="0" distB="0" distL="114300" distR="114300" simplePos="0" relativeHeight="251658240" behindDoc="1" locked="0" layoutInCell="1" allowOverlap="1" wp14:anchorId="4A1033FD" wp14:editId="4E889F1D">
            <wp:simplePos x="0" y="0"/>
            <wp:positionH relativeFrom="column">
              <wp:posOffset>933450</wp:posOffset>
            </wp:positionH>
            <wp:positionV relativeFrom="paragraph">
              <wp:posOffset>7620</wp:posOffset>
            </wp:positionV>
            <wp:extent cx="3981450" cy="2711299"/>
            <wp:effectExtent l="0" t="0" r="0" b="0"/>
            <wp:wrapTight wrapText="bothSides">
              <wp:wrapPolygon edited="0">
                <wp:start x="0" y="0"/>
                <wp:lineTo x="0" y="21403"/>
                <wp:lineTo x="21497" y="21403"/>
                <wp:lineTo x="21497" y="0"/>
                <wp:lineTo x="0" y="0"/>
              </wp:wrapPolygon>
            </wp:wrapTight>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711299"/>
                    </a:xfrm>
                    <a:prstGeom prst="rect">
                      <a:avLst/>
                    </a:prstGeom>
                    <a:noFill/>
                    <a:ln>
                      <a:noFill/>
                    </a:ln>
                  </pic:spPr>
                </pic:pic>
              </a:graphicData>
            </a:graphic>
          </wp:anchor>
        </w:drawing>
      </w:r>
    </w:p>
    <w:p w14:paraId="06A44784"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6758442E"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403C7F83"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6BF4A685"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23A525AB"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11A2D396"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2E9BD964"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2BEF9823"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21AC4325"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6898A068" w14:textId="77777777" w:rsidR="00C563F4" w:rsidRPr="004831AB" w:rsidRDefault="00C563F4" w:rsidP="004A73A8">
      <w:pPr>
        <w:tabs>
          <w:tab w:val="left" w:pos="0"/>
          <w:tab w:val="left" w:pos="990"/>
        </w:tabs>
        <w:spacing w:after="120" w:line="240" w:lineRule="auto"/>
        <w:jc w:val="both"/>
        <w:rPr>
          <w:rFonts w:ascii="Times New Roman" w:hAnsi="Times New Roman" w:cs="Times New Roman"/>
          <w:sz w:val="24"/>
          <w:szCs w:val="24"/>
          <w:lang w:val="sr-Cyrl-CS"/>
        </w:rPr>
      </w:pPr>
    </w:p>
    <w:p w14:paraId="424E97F0" w14:textId="77777777" w:rsidR="00C563F4" w:rsidRPr="004831AB" w:rsidRDefault="00C563F4" w:rsidP="00C563F4">
      <w:pPr>
        <w:tabs>
          <w:tab w:val="left" w:pos="0"/>
          <w:tab w:val="left" w:pos="990"/>
        </w:tabs>
        <w:spacing w:after="120" w:line="240" w:lineRule="auto"/>
        <w:jc w:val="center"/>
        <w:rPr>
          <w:rFonts w:ascii="Times New Roman" w:hAnsi="Times New Roman" w:cs="Times New Roman"/>
          <w:sz w:val="18"/>
          <w:szCs w:val="18"/>
          <w:lang w:val="sr-Cyrl-CS"/>
        </w:rPr>
      </w:pPr>
      <w:r w:rsidRPr="004831AB">
        <w:rPr>
          <w:rFonts w:ascii="Times New Roman" w:hAnsi="Times New Roman" w:cs="Times New Roman"/>
          <w:sz w:val="18"/>
          <w:szCs w:val="18"/>
          <w:lang w:val="sr-Cyrl-CS"/>
        </w:rPr>
        <w:t>Слика 1. Резултати Индекса политике МСП за Србију (за 2019. и 2022. годину)</w:t>
      </w:r>
    </w:p>
    <w:p w14:paraId="5C27AA14" w14:textId="0C7F506E" w:rsidR="004A73A8" w:rsidRPr="004831AB" w:rsidRDefault="005935BD" w:rsidP="004A73A8">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ab/>
      </w:r>
      <w:r w:rsidR="00FA1646" w:rsidRPr="004831AB">
        <w:rPr>
          <w:rFonts w:ascii="Times New Roman" w:hAnsi="Times New Roman" w:cs="Times New Roman"/>
          <w:sz w:val="24"/>
          <w:szCs w:val="24"/>
          <w:lang w:val="sr-Cyrl-CS"/>
        </w:rPr>
        <w:t xml:space="preserve">У извештају се констатује да је </w:t>
      </w:r>
      <w:r w:rsidR="008C6478" w:rsidRPr="004831AB">
        <w:rPr>
          <w:rFonts w:ascii="Times New Roman" w:hAnsi="Times New Roman" w:cs="Times New Roman"/>
          <w:sz w:val="24"/>
          <w:szCs w:val="24"/>
          <w:lang w:val="sr-Cyrl-CS"/>
        </w:rPr>
        <w:t>Републик</w:t>
      </w:r>
      <w:r w:rsidR="00FA1646" w:rsidRPr="004831AB">
        <w:rPr>
          <w:rFonts w:ascii="Times New Roman" w:hAnsi="Times New Roman" w:cs="Times New Roman"/>
          <w:sz w:val="24"/>
          <w:szCs w:val="24"/>
          <w:lang w:val="sr-Cyrl-CS"/>
        </w:rPr>
        <w:t>а</w:t>
      </w:r>
      <w:r w:rsidR="008C6478" w:rsidRPr="004831AB">
        <w:rPr>
          <w:rFonts w:ascii="Times New Roman" w:hAnsi="Times New Roman" w:cs="Times New Roman"/>
          <w:sz w:val="24"/>
          <w:szCs w:val="24"/>
          <w:lang w:val="sr-Cyrl-CS"/>
        </w:rPr>
        <w:t xml:space="preserve"> Србиј</w:t>
      </w:r>
      <w:r w:rsidR="00FA1646" w:rsidRPr="004831AB">
        <w:rPr>
          <w:rFonts w:ascii="Times New Roman" w:hAnsi="Times New Roman" w:cs="Times New Roman"/>
          <w:sz w:val="24"/>
          <w:szCs w:val="24"/>
          <w:lang w:val="sr-Cyrl-CS"/>
        </w:rPr>
        <w:t>а</w:t>
      </w:r>
      <w:r w:rsidR="008C6478" w:rsidRPr="004831AB">
        <w:rPr>
          <w:rFonts w:ascii="Times New Roman" w:hAnsi="Times New Roman" w:cs="Times New Roman"/>
          <w:sz w:val="24"/>
          <w:szCs w:val="24"/>
          <w:lang w:val="sr-Cyrl-CS"/>
        </w:rPr>
        <w:t xml:space="preserve"> </w:t>
      </w:r>
      <w:r w:rsidR="00E125E6" w:rsidRPr="004831AB">
        <w:rPr>
          <w:rFonts w:ascii="Times New Roman" w:hAnsi="Times New Roman" w:cs="Times New Roman"/>
          <w:sz w:val="24"/>
          <w:szCs w:val="24"/>
          <w:lang w:val="sr-Cyrl-CS"/>
        </w:rPr>
        <w:t>посвећен</w:t>
      </w:r>
      <w:r w:rsidR="00FA1646" w:rsidRPr="004831AB">
        <w:rPr>
          <w:rFonts w:ascii="Times New Roman" w:hAnsi="Times New Roman" w:cs="Times New Roman"/>
          <w:sz w:val="24"/>
          <w:szCs w:val="24"/>
          <w:lang w:val="sr-Cyrl-CS"/>
        </w:rPr>
        <w:t>а</w:t>
      </w:r>
      <w:r w:rsidR="00E125E6" w:rsidRPr="004831AB">
        <w:rPr>
          <w:rFonts w:ascii="Times New Roman" w:hAnsi="Times New Roman" w:cs="Times New Roman"/>
          <w:sz w:val="24"/>
          <w:szCs w:val="24"/>
          <w:lang w:val="sr-Cyrl-CS"/>
        </w:rPr>
        <w:t xml:space="preserve"> </w:t>
      </w:r>
      <w:r w:rsidR="004A73A8" w:rsidRPr="004831AB">
        <w:rPr>
          <w:rFonts w:ascii="Times New Roman" w:hAnsi="Times New Roman" w:cs="Times New Roman"/>
          <w:sz w:val="24"/>
          <w:szCs w:val="24"/>
          <w:lang w:val="sr-Cyrl-CS"/>
        </w:rPr>
        <w:t>остваривању принципа СБА</w:t>
      </w:r>
      <w:r w:rsidR="00491F17" w:rsidRPr="004831AB">
        <w:rPr>
          <w:rFonts w:ascii="Times New Roman" w:hAnsi="Times New Roman" w:cs="Times New Roman"/>
          <w:sz w:val="24"/>
          <w:szCs w:val="24"/>
          <w:lang w:val="sr-Cyrl-CS"/>
        </w:rPr>
        <w:t>,</w:t>
      </w:r>
      <w:r w:rsidR="00FA1646" w:rsidRPr="004831AB">
        <w:rPr>
          <w:rFonts w:ascii="Times New Roman" w:hAnsi="Times New Roman" w:cs="Times New Roman"/>
          <w:sz w:val="24"/>
          <w:szCs w:val="24"/>
          <w:lang w:val="sr-Cyrl-CS"/>
        </w:rPr>
        <w:t xml:space="preserve"> да је </w:t>
      </w:r>
      <w:r w:rsidR="00491F17" w:rsidRPr="004831AB">
        <w:rPr>
          <w:rFonts w:ascii="Times New Roman" w:hAnsi="Times New Roman" w:cs="Times New Roman"/>
          <w:sz w:val="24"/>
          <w:szCs w:val="24"/>
          <w:lang w:val="sr-Cyrl-CS"/>
        </w:rPr>
        <w:t xml:space="preserve">један </w:t>
      </w:r>
      <w:r w:rsidR="00E125E6" w:rsidRPr="004831AB">
        <w:rPr>
          <w:rFonts w:ascii="Times New Roman" w:hAnsi="Times New Roman" w:cs="Times New Roman"/>
          <w:sz w:val="24"/>
          <w:szCs w:val="24"/>
          <w:lang w:val="sr-Cyrl-CS"/>
        </w:rPr>
        <w:t xml:space="preserve"> од лидера </w:t>
      </w:r>
      <w:r w:rsidR="004A73A8" w:rsidRPr="004831AB">
        <w:rPr>
          <w:rFonts w:ascii="Times New Roman" w:hAnsi="Times New Roman" w:cs="Times New Roman"/>
          <w:sz w:val="24"/>
          <w:szCs w:val="24"/>
          <w:lang w:val="sr-Cyrl-CS"/>
        </w:rPr>
        <w:t>у</w:t>
      </w:r>
      <w:r w:rsidR="00491F17" w:rsidRPr="004831AB">
        <w:rPr>
          <w:rFonts w:ascii="Times New Roman" w:hAnsi="Times New Roman" w:cs="Times New Roman"/>
          <w:sz w:val="24"/>
          <w:szCs w:val="24"/>
          <w:lang w:val="sr-Cyrl-CS"/>
        </w:rPr>
        <w:t xml:space="preserve"> ре</w:t>
      </w:r>
      <w:r w:rsidR="00690AC5" w:rsidRPr="004831AB">
        <w:rPr>
          <w:rFonts w:ascii="Times New Roman" w:hAnsi="Times New Roman" w:cs="Times New Roman"/>
          <w:sz w:val="24"/>
          <w:szCs w:val="24"/>
          <w:lang w:val="sr-Cyrl-CS"/>
        </w:rPr>
        <w:t>гио</w:t>
      </w:r>
      <w:r w:rsidR="00491F17" w:rsidRPr="004831AB">
        <w:rPr>
          <w:rFonts w:ascii="Times New Roman" w:hAnsi="Times New Roman" w:cs="Times New Roman"/>
          <w:sz w:val="24"/>
          <w:szCs w:val="24"/>
          <w:lang w:val="sr-Cyrl-CS"/>
        </w:rPr>
        <w:t xml:space="preserve">ну и да је остварила </w:t>
      </w:r>
      <w:r w:rsidR="006B3C5F" w:rsidRPr="004831AB">
        <w:rPr>
          <w:rFonts w:ascii="Times New Roman" w:hAnsi="Times New Roman" w:cs="Times New Roman"/>
          <w:sz w:val="24"/>
          <w:szCs w:val="24"/>
          <w:lang w:val="sr-Cyrl-CS"/>
        </w:rPr>
        <w:t xml:space="preserve">добар напредак у имплементацији СБА у односу на претходни извештајни период (2016 – 2018. године). </w:t>
      </w:r>
      <w:r w:rsidR="00491F17" w:rsidRPr="004831AB">
        <w:rPr>
          <w:rFonts w:ascii="Times New Roman" w:hAnsi="Times New Roman" w:cs="Times New Roman"/>
          <w:sz w:val="24"/>
          <w:szCs w:val="24"/>
          <w:lang w:val="sr-Cyrl-CS"/>
        </w:rPr>
        <w:t xml:space="preserve">Такође се наводи да је Република </w:t>
      </w:r>
      <w:r w:rsidR="006B3C5F" w:rsidRPr="004831AB">
        <w:rPr>
          <w:rFonts w:ascii="Times New Roman" w:hAnsi="Times New Roman" w:cs="Times New Roman"/>
          <w:sz w:val="24"/>
          <w:szCs w:val="24"/>
          <w:lang w:val="sr-Cyrl-CS"/>
        </w:rPr>
        <w:t>Србија посвећена сталном унапређењу пословног окружења и рангирана у прве три економије у скоро свим димензијама СБА.</w:t>
      </w:r>
      <w:r w:rsidR="004A73A8" w:rsidRPr="004831AB">
        <w:rPr>
          <w:rFonts w:ascii="Times New Roman" w:hAnsi="Times New Roman" w:cs="Times New Roman"/>
          <w:sz w:val="24"/>
          <w:szCs w:val="24"/>
          <w:lang w:val="sr-Cyrl-CS"/>
        </w:rPr>
        <w:t xml:space="preserve"> Истакнуто је </w:t>
      </w:r>
      <w:r w:rsidR="00E125E6" w:rsidRPr="004831AB">
        <w:rPr>
          <w:rFonts w:ascii="Times New Roman" w:hAnsi="Times New Roman" w:cs="Times New Roman"/>
          <w:sz w:val="24"/>
          <w:szCs w:val="24"/>
          <w:lang w:val="sr-Cyrl-CS"/>
        </w:rPr>
        <w:t xml:space="preserve">и </w:t>
      </w:r>
      <w:r w:rsidR="004A73A8" w:rsidRPr="004831AB">
        <w:rPr>
          <w:rFonts w:ascii="Times New Roman" w:hAnsi="Times New Roman" w:cs="Times New Roman"/>
          <w:sz w:val="24"/>
          <w:szCs w:val="24"/>
          <w:lang w:val="sr-Cyrl-CS"/>
        </w:rPr>
        <w:t xml:space="preserve">да </w:t>
      </w:r>
      <w:r w:rsidR="00E125E6" w:rsidRPr="004831AB">
        <w:rPr>
          <w:rFonts w:ascii="Times New Roman" w:hAnsi="Times New Roman" w:cs="Times New Roman"/>
          <w:sz w:val="24"/>
          <w:szCs w:val="24"/>
          <w:lang w:val="sr-Cyrl-CS"/>
        </w:rPr>
        <w:t xml:space="preserve">је </w:t>
      </w:r>
      <w:r w:rsidR="004A73A8" w:rsidRPr="004831AB">
        <w:rPr>
          <w:rFonts w:ascii="Times New Roman" w:hAnsi="Times New Roman" w:cs="Times New Roman"/>
          <w:sz w:val="24"/>
          <w:szCs w:val="24"/>
          <w:lang w:val="sr-Cyrl-CS"/>
        </w:rPr>
        <w:t xml:space="preserve">најзначајнији напредак </w:t>
      </w:r>
      <w:r w:rsidR="00491F17" w:rsidRPr="004831AB">
        <w:rPr>
          <w:rFonts w:ascii="Times New Roman" w:hAnsi="Times New Roman" w:cs="Times New Roman"/>
          <w:sz w:val="24"/>
          <w:szCs w:val="24"/>
          <w:lang w:val="sr-Cyrl-CS"/>
        </w:rPr>
        <w:t xml:space="preserve">остварен </w:t>
      </w:r>
      <w:r w:rsidR="004A73A8" w:rsidRPr="004831AB">
        <w:rPr>
          <w:rFonts w:ascii="Times New Roman" w:hAnsi="Times New Roman" w:cs="Times New Roman"/>
          <w:sz w:val="24"/>
          <w:szCs w:val="24"/>
          <w:lang w:val="sr-Cyrl-CS"/>
        </w:rPr>
        <w:t>у димензији 8б. Иновациона политика за МСП</w:t>
      </w:r>
      <w:r w:rsidR="00640CAE" w:rsidRPr="004831AB">
        <w:rPr>
          <w:rFonts w:ascii="Times New Roman" w:hAnsi="Times New Roman" w:cs="Times New Roman"/>
          <w:sz w:val="24"/>
          <w:szCs w:val="24"/>
          <w:lang w:val="sr-Cyrl-CS"/>
        </w:rPr>
        <w:t>П</w:t>
      </w:r>
      <w:r w:rsidR="004A73A8" w:rsidRPr="004831AB">
        <w:rPr>
          <w:rFonts w:ascii="Times New Roman" w:hAnsi="Times New Roman" w:cs="Times New Roman"/>
          <w:sz w:val="24"/>
          <w:szCs w:val="24"/>
          <w:lang w:val="sr-Cyrl-CS"/>
        </w:rPr>
        <w:t xml:space="preserve">, а </w:t>
      </w:r>
      <w:r w:rsidR="00491F17" w:rsidRPr="004831AB">
        <w:rPr>
          <w:rFonts w:ascii="Times New Roman" w:hAnsi="Times New Roman" w:cs="Times New Roman"/>
          <w:sz w:val="24"/>
          <w:szCs w:val="24"/>
          <w:lang w:val="sr-Cyrl-CS"/>
        </w:rPr>
        <w:t>надпросечан резултат остварен је и</w:t>
      </w:r>
      <w:r w:rsidR="004A73A8" w:rsidRPr="004831AB">
        <w:rPr>
          <w:rFonts w:ascii="Times New Roman" w:hAnsi="Times New Roman" w:cs="Times New Roman"/>
          <w:sz w:val="24"/>
          <w:szCs w:val="24"/>
          <w:lang w:val="sr-Cyrl-CS"/>
        </w:rPr>
        <w:t xml:space="preserve"> </w:t>
      </w:r>
      <w:r w:rsidR="00E125E6" w:rsidRPr="004831AB">
        <w:rPr>
          <w:rFonts w:ascii="Times New Roman" w:hAnsi="Times New Roman" w:cs="Times New Roman"/>
          <w:sz w:val="24"/>
          <w:szCs w:val="24"/>
          <w:lang w:val="sr-Cyrl-CS"/>
        </w:rPr>
        <w:t xml:space="preserve">у </w:t>
      </w:r>
      <w:r w:rsidR="004A73A8" w:rsidRPr="004831AB">
        <w:rPr>
          <w:rFonts w:ascii="Times New Roman" w:hAnsi="Times New Roman" w:cs="Times New Roman"/>
          <w:sz w:val="24"/>
          <w:szCs w:val="24"/>
          <w:lang w:val="sr-Cyrl-CS"/>
        </w:rPr>
        <w:t>областима:</w:t>
      </w:r>
    </w:p>
    <w:p w14:paraId="78B49D93" w14:textId="77777777" w:rsidR="003049FD" w:rsidRPr="004831AB" w:rsidRDefault="003049FD"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4: Оперативно окружење за МСП</w:t>
      </w:r>
      <w:r w:rsidR="00640CAE"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w:t>
      </w:r>
    </w:p>
    <w:p w14:paraId="440E0836" w14:textId="77777777" w:rsidR="003049FD" w:rsidRPr="004831AB" w:rsidRDefault="003049FD"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5а: Услуге подршке МСП</w:t>
      </w:r>
      <w:r w:rsidR="00640CAE"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w:t>
      </w:r>
    </w:p>
    <w:p w14:paraId="695DEA8A" w14:textId="77777777" w:rsidR="004A73A8" w:rsidRPr="004831AB" w:rsidRDefault="004A73A8"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5б: Јавне набавке</w:t>
      </w:r>
      <w:r w:rsidR="003049FD" w:rsidRPr="004831AB">
        <w:rPr>
          <w:rFonts w:ascii="Times New Roman" w:hAnsi="Times New Roman" w:cs="Times New Roman"/>
          <w:sz w:val="24"/>
          <w:szCs w:val="24"/>
          <w:lang w:val="sr-Cyrl-CS"/>
        </w:rPr>
        <w:t>;</w:t>
      </w:r>
    </w:p>
    <w:p w14:paraId="52FB91B0" w14:textId="77777777" w:rsidR="004A73A8" w:rsidRPr="004831AB" w:rsidRDefault="004A73A8"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6: Приступ финансијама за МСП</w:t>
      </w:r>
      <w:r w:rsidR="00640CAE" w:rsidRPr="004831AB">
        <w:rPr>
          <w:rFonts w:ascii="Times New Roman" w:hAnsi="Times New Roman" w:cs="Times New Roman"/>
          <w:sz w:val="24"/>
          <w:szCs w:val="24"/>
          <w:lang w:val="sr-Cyrl-CS"/>
        </w:rPr>
        <w:t>П</w:t>
      </w:r>
      <w:r w:rsidR="003049FD" w:rsidRPr="004831AB">
        <w:rPr>
          <w:rFonts w:ascii="Times New Roman" w:hAnsi="Times New Roman" w:cs="Times New Roman"/>
          <w:sz w:val="24"/>
          <w:szCs w:val="24"/>
          <w:lang w:val="sr-Cyrl-CS"/>
        </w:rPr>
        <w:t>;</w:t>
      </w:r>
    </w:p>
    <w:p w14:paraId="1810F9D0" w14:textId="77777777" w:rsidR="004A73A8" w:rsidRPr="004831AB" w:rsidRDefault="004A73A8"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7: Стандарди и технички прописи</w:t>
      </w:r>
      <w:r w:rsidR="003049FD" w:rsidRPr="004831AB">
        <w:rPr>
          <w:rFonts w:ascii="Times New Roman" w:hAnsi="Times New Roman" w:cs="Times New Roman"/>
          <w:sz w:val="24"/>
          <w:szCs w:val="24"/>
          <w:lang w:val="sr-Cyrl-CS"/>
        </w:rPr>
        <w:t>;</w:t>
      </w:r>
    </w:p>
    <w:p w14:paraId="5E4C511D" w14:textId="77777777" w:rsidR="004A73A8" w:rsidRPr="004831AB" w:rsidRDefault="004A73A8" w:rsidP="0066608C">
      <w:pPr>
        <w:pStyle w:val="ListParagraph"/>
        <w:numPr>
          <w:ilvl w:val="0"/>
          <w:numId w:val="42"/>
        </w:num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Димензија 10: Интернационализација МСП</w:t>
      </w:r>
      <w:r w:rsidR="00640CAE" w:rsidRPr="004831AB">
        <w:rPr>
          <w:rFonts w:ascii="Times New Roman" w:hAnsi="Times New Roman" w:cs="Times New Roman"/>
          <w:sz w:val="24"/>
          <w:szCs w:val="24"/>
          <w:lang w:val="sr-Cyrl-CS"/>
        </w:rPr>
        <w:t>П</w:t>
      </w:r>
      <w:r w:rsidR="006768EE" w:rsidRPr="004831AB">
        <w:rPr>
          <w:rFonts w:ascii="Times New Roman" w:hAnsi="Times New Roman" w:cs="Times New Roman"/>
          <w:sz w:val="24"/>
          <w:szCs w:val="24"/>
          <w:lang w:val="sr-Cyrl-CS"/>
        </w:rPr>
        <w:t>.</w:t>
      </w:r>
      <w:r w:rsidR="003049FD" w:rsidRPr="004831AB">
        <w:rPr>
          <w:rFonts w:ascii="Times New Roman" w:hAnsi="Times New Roman" w:cs="Times New Roman"/>
          <w:sz w:val="24"/>
          <w:szCs w:val="24"/>
          <w:lang w:val="sr-Cyrl-CS"/>
        </w:rPr>
        <w:t xml:space="preserve"> </w:t>
      </w:r>
    </w:p>
    <w:p w14:paraId="30D0BA5A" w14:textId="375C935C" w:rsidR="003049FD" w:rsidRPr="004831AB" w:rsidRDefault="005935BD" w:rsidP="00237903">
      <w:pPr>
        <w:tabs>
          <w:tab w:val="left" w:pos="0"/>
          <w:tab w:val="left" w:pos="990"/>
        </w:tabs>
        <w:spacing w:after="12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ab/>
      </w:r>
      <w:r w:rsidR="003049FD" w:rsidRPr="004831AB">
        <w:rPr>
          <w:rFonts w:ascii="Times New Roman" w:hAnsi="Times New Roman" w:cs="Times New Roman"/>
          <w:sz w:val="24"/>
          <w:szCs w:val="24"/>
          <w:lang w:val="sr-Cyrl-CS"/>
        </w:rPr>
        <w:t xml:space="preserve">Као </w:t>
      </w:r>
      <w:r w:rsidR="00491F17" w:rsidRPr="004831AB">
        <w:rPr>
          <w:rFonts w:ascii="Times New Roman" w:hAnsi="Times New Roman" w:cs="Times New Roman"/>
          <w:sz w:val="24"/>
          <w:szCs w:val="24"/>
          <w:lang w:val="sr-Cyrl-CS"/>
        </w:rPr>
        <w:t>најважнији остварени резултати у извештају се навод</w:t>
      </w:r>
      <w:r w:rsidR="00E522C2" w:rsidRPr="004831AB">
        <w:rPr>
          <w:rFonts w:ascii="Times New Roman" w:hAnsi="Times New Roman" w:cs="Times New Roman"/>
          <w:sz w:val="24"/>
          <w:szCs w:val="24"/>
          <w:lang w:val="sr-Cyrl-CS"/>
        </w:rPr>
        <w:t>е:</w:t>
      </w:r>
      <w:r w:rsidR="00491F17" w:rsidRPr="004831AB">
        <w:rPr>
          <w:rFonts w:ascii="Times New Roman" w:hAnsi="Times New Roman" w:cs="Times New Roman"/>
          <w:sz w:val="24"/>
          <w:szCs w:val="24"/>
          <w:lang w:val="sr-Cyrl-CS"/>
        </w:rPr>
        <w:t xml:space="preserve"> успостављање </w:t>
      </w:r>
      <w:r w:rsidR="003049FD" w:rsidRPr="004831AB">
        <w:rPr>
          <w:rFonts w:ascii="Times New Roman" w:hAnsi="Times New Roman" w:cs="Times New Roman"/>
          <w:sz w:val="24"/>
          <w:szCs w:val="24"/>
          <w:lang w:val="sr-Cyrl-CS"/>
        </w:rPr>
        <w:t>нов</w:t>
      </w:r>
      <w:r w:rsidR="00491F17" w:rsidRPr="004831AB">
        <w:rPr>
          <w:rFonts w:ascii="Times New Roman" w:hAnsi="Times New Roman" w:cs="Times New Roman"/>
          <w:sz w:val="24"/>
          <w:szCs w:val="24"/>
          <w:lang w:val="sr-Cyrl-CS"/>
        </w:rPr>
        <w:t>ог</w:t>
      </w:r>
      <w:r w:rsidR="003049FD" w:rsidRPr="004831AB">
        <w:rPr>
          <w:rFonts w:ascii="Times New Roman" w:hAnsi="Times New Roman" w:cs="Times New Roman"/>
          <w:sz w:val="24"/>
          <w:szCs w:val="24"/>
          <w:lang w:val="sr-Cyrl-CS"/>
        </w:rPr>
        <w:t xml:space="preserve"> портал</w:t>
      </w:r>
      <w:r w:rsidR="00491F17" w:rsidRPr="004831AB">
        <w:rPr>
          <w:rFonts w:ascii="Times New Roman" w:hAnsi="Times New Roman" w:cs="Times New Roman"/>
          <w:sz w:val="24"/>
          <w:szCs w:val="24"/>
          <w:lang w:val="sr-Cyrl-CS"/>
        </w:rPr>
        <w:t>а</w:t>
      </w:r>
      <w:r w:rsidR="003049FD" w:rsidRPr="004831AB">
        <w:rPr>
          <w:rFonts w:ascii="Times New Roman" w:hAnsi="Times New Roman" w:cs="Times New Roman"/>
          <w:sz w:val="24"/>
          <w:szCs w:val="24"/>
          <w:lang w:val="sr-Cyrl-CS"/>
        </w:rPr>
        <w:t xml:space="preserve"> е-Управе за дигиталне услуге</w:t>
      </w:r>
      <w:r w:rsidR="00491F17" w:rsidRPr="004831AB">
        <w:rPr>
          <w:rFonts w:ascii="Times New Roman" w:hAnsi="Times New Roman" w:cs="Times New Roman"/>
          <w:sz w:val="24"/>
          <w:szCs w:val="24"/>
          <w:lang w:val="sr-Cyrl-CS"/>
        </w:rPr>
        <w:t>,</w:t>
      </w:r>
      <w:r w:rsidR="003049FD" w:rsidRPr="004831AB">
        <w:rPr>
          <w:rFonts w:ascii="Times New Roman" w:hAnsi="Times New Roman" w:cs="Times New Roman"/>
          <w:sz w:val="24"/>
          <w:szCs w:val="24"/>
          <w:lang w:val="sr-Cyrl-CS"/>
        </w:rPr>
        <w:t xml:space="preserve"> </w:t>
      </w:r>
      <w:r w:rsidR="00E522C2" w:rsidRPr="004831AB">
        <w:rPr>
          <w:rFonts w:ascii="Times New Roman" w:hAnsi="Times New Roman" w:cs="Times New Roman"/>
          <w:sz w:val="24"/>
          <w:szCs w:val="24"/>
          <w:lang w:val="sr-Cyrl-CS"/>
        </w:rPr>
        <w:t>унапређење</w:t>
      </w:r>
      <w:r w:rsidR="00491F17" w:rsidRPr="004831AB">
        <w:rPr>
          <w:rFonts w:ascii="Times New Roman" w:hAnsi="Times New Roman" w:cs="Times New Roman"/>
          <w:sz w:val="24"/>
          <w:szCs w:val="24"/>
          <w:lang w:val="sr-Cyrl-CS"/>
        </w:rPr>
        <w:t xml:space="preserve"> </w:t>
      </w:r>
      <w:r w:rsidR="003049FD" w:rsidRPr="004831AB">
        <w:rPr>
          <w:rFonts w:ascii="Times New Roman" w:hAnsi="Times New Roman" w:cs="Times New Roman"/>
          <w:sz w:val="24"/>
          <w:szCs w:val="24"/>
          <w:lang w:val="sr-Cyrl-CS"/>
        </w:rPr>
        <w:t>приступ</w:t>
      </w:r>
      <w:r w:rsidR="00E522C2" w:rsidRPr="004831AB">
        <w:rPr>
          <w:rFonts w:ascii="Times New Roman" w:hAnsi="Times New Roman" w:cs="Times New Roman"/>
          <w:sz w:val="24"/>
          <w:szCs w:val="24"/>
          <w:lang w:val="sr-Cyrl-CS"/>
        </w:rPr>
        <w:t>а</w:t>
      </w:r>
      <w:r w:rsidR="003049FD" w:rsidRPr="004831AB">
        <w:rPr>
          <w:rFonts w:ascii="Times New Roman" w:hAnsi="Times New Roman" w:cs="Times New Roman"/>
          <w:sz w:val="24"/>
          <w:szCs w:val="24"/>
          <w:lang w:val="sr-Cyrl-CS"/>
        </w:rPr>
        <w:t xml:space="preserve"> МСП</w:t>
      </w:r>
      <w:r w:rsidR="00640CAE" w:rsidRPr="004831AB">
        <w:rPr>
          <w:rFonts w:ascii="Times New Roman" w:hAnsi="Times New Roman" w:cs="Times New Roman"/>
          <w:sz w:val="24"/>
          <w:szCs w:val="24"/>
          <w:lang w:val="sr-Cyrl-CS"/>
        </w:rPr>
        <w:t>П</w:t>
      </w:r>
      <w:r w:rsidR="003049FD" w:rsidRPr="004831AB">
        <w:rPr>
          <w:rFonts w:ascii="Times New Roman" w:hAnsi="Times New Roman" w:cs="Times New Roman"/>
          <w:sz w:val="24"/>
          <w:szCs w:val="24"/>
          <w:lang w:val="sr-Cyrl-CS"/>
        </w:rPr>
        <w:t xml:space="preserve"> услугама за подршку </w:t>
      </w:r>
      <w:r w:rsidR="00491F17" w:rsidRPr="004831AB">
        <w:rPr>
          <w:rFonts w:ascii="Times New Roman" w:hAnsi="Times New Roman" w:cs="Times New Roman"/>
          <w:sz w:val="24"/>
          <w:szCs w:val="24"/>
          <w:lang w:val="sr-Cyrl-CS"/>
        </w:rPr>
        <w:t>развоју пословања</w:t>
      </w:r>
      <w:r w:rsidR="003049FD" w:rsidRPr="004831AB">
        <w:rPr>
          <w:rFonts w:ascii="Times New Roman" w:hAnsi="Times New Roman" w:cs="Times New Roman"/>
          <w:sz w:val="24"/>
          <w:szCs w:val="24"/>
          <w:lang w:val="sr-Cyrl-CS"/>
        </w:rPr>
        <w:t xml:space="preserve">, </w:t>
      </w:r>
      <w:r w:rsidR="00491F17" w:rsidRPr="004831AB">
        <w:rPr>
          <w:rFonts w:ascii="Times New Roman" w:hAnsi="Times New Roman" w:cs="Times New Roman"/>
          <w:sz w:val="24"/>
          <w:szCs w:val="24"/>
          <w:lang w:val="sr-Cyrl-CS"/>
        </w:rPr>
        <w:t>унапређе</w:t>
      </w:r>
      <w:r w:rsidR="00E522C2" w:rsidRPr="004831AB">
        <w:rPr>
          <w:rFonts w:ascii="Times New Roman" w:hAnsi="Times New Roman" w:cs="Times New Roman"/>
          <w:sz w:val="24"/>
          <w:szCs w:val="24"/>
          <w:lang w:val="sr-Cyrl-CS"/>
        </w:rPr>
        <w:t>ње</w:t>
      </w:r>
      <w:r w:rsidR="003049FD" w:rsidRPr="004831AB">
        <w:rPr>
          <w:rFonts w:ascii="Times New Roman" w:hAnsi="Times New Roman" w:cs="Times New Roman"/>
          <w:sz w:val="24"/>
          <w:szCs w:val="24"/>
          <w:lang w:val="sr-Cyrl-CS"/>
        </w:rPr>
        <w:t xml:space="preserve"> приступ</w:t>
      </w:r>
      <w:r w:rsidR="00E522C2" w:rsidRPr="004831AB">
        <w:rPr>
          <w:rFonts w:ascii="Times New Roman" w:hAnsi="Times New Roman" w:cs="Times New Roman"/>
          <w:sz w:val="24"/>
          <w:szCs w:val="24"/>
          <w:lang w:val="sr-Cyrl-CS"/>
        </w:rPr>
        <w:t>а</w:t>
      </w:r>
      <w:r w:rsidR="003049FD" w:rsidRPr="004831AB">
        <w:rPr>
          <w:rFonts w:ascii="Times New Roman" w:hAnsi="Times New Roman" w:cs="Times New Roman"/>
          <w:sz w:val="24"/>
          <w:szCs w:val="24"/>
          <w:lang w:val="sr-Cyrl-CS"/>
        </w:rPr>
        <w:t xml:space="preserve"> финансијама</w:t>
      </w:r>
      <w:r w:rsidR="00491F17" w:rsidRPr="004831AB">
        <w:rPr>
          <w:rFonts w:ascii="Times New Roman" w:hAnsi="Times New Roman" w:cs="Times New Roman"/>
          <w:sz w:val="24"/>
          <w:szCs w:val="24"/>
          <w:lang w:val="sr-Cyrl-CS"/>
        </w:rPr>
        <w:t>,</w:t>
      </w:r>
      <w:r w:rsidR="003049FD" w:rsidRPr="004831AB">
        <w:rPr>
          <w:rFonts w:ascii="Times New Roman" w:hAnsi="Times New Roman" w:cs="Times New Roman"/>
          <w:sz w:val="24"/>
          <w:szCs w:val="24"/>
          <w:lang w:val="sr-Cyrl-CS"/>
        </w:rPr>
        <w:t xml:space="preserve"> ојач</w:t>
      </w:r>
      <w:r w:rsidR="006768EE" w:rsidRPr="004831AB">
        <w:rPr>
          <w:rFonts w:ascii="Times New Roman" w:hAnsi="Times New Roman" w:cs="Times New Roman"/>
          <w:sz w:val="24"/>
          <w:szCs w:val="24"/>
          <w:lang w:val="sr-Cyrl-CS"/>
        </w:rPr>
        <w:t>а</w:t>
      </w:r>
      <w:r w:rsidR="003049FD" w:rsidRPr="004831AB">
        <w:rPr>
          <w:rFonts w:ascii="Times New Roman" w:hAnsi="Times New Roman" w:cs="Times New Roman"/>
          <w:sz w:val="24"/>
          <w:szCs w:val="24"/>
          <w:lang w:val="sr-Cyrl-CS"/>
        </w:rPr>
        <w:t xml:space="preserve">н оквир иновационе политике и </w:t>
      </w:r>
      <w:r w:rsidR="00E522C2" w:rsidRPr="004831AB">
        <w:rPr>
          <w:rFonts w:ascii="Times New Roman" w:hAnsi="Times New Roman" w:cs="Times New Roman"/>
          <w:sz w:val="24"/>
          <w:szCs w:val="24"/>
          <w:lang w:val="sr-Cyrl-CS"/>
        </w:rPr>
        <w:t xml:space="preserve">боља </w:t>
      </w:r>
      <w:r w:rsidR="003049FD" w:rsidRPr="004831AB">
        <w:rPr>
          <w:rFonts w:ascii="Times New Roman" w:hAnsi="Times New Roman" w:cs="Times New Roman"/>
          <w:sz w:val="24"/>
          <w:szCs w:val="24"/>
          <w:lang w:val="sr-Cyrl-CS"/>
        </w:rPr>
        <w:t>доступност финансијске подршке</w:t>
      </w:r>
      <w:r w:rsidR="00491F17" w:rsidRPr="004831AB">
        <w:rPr>
          <w:rFonts w:ascii="Times New Roman" w:hAnsi="Times New Roman" w:cs="Times New Roman"/>
          <w:sz w:val="24"/>
          <w:szCs w:val="24"/>
          <w:lang w:val="sr-Cyrl-CS"/>
        </w:rPr>
        <w:t xml:space="preserve"> за иновације</w:t>
      </w:r>
      <w:r w:rsidR="00E522C2" w:rsidRPr="004831AB">
        <w:rPr>
          <w:rFonts w:ascii="Times New Roman" w:hAnsi="Times New Roman" w:cs="Times New Roman"/>
          <w:sz w:val="24"/>
          <w:szCs w:val="24"/>
          <w:lang w:val="sr-Cyrl-CS"/>
        </w:rPr>
        <w:t>, као</w:t>
      </w:r>
      <w:r w:rsidR="00491F17" w:rsidRPr="004831AB">
        <w:rPr>
          <w:rFonts w:ascii="Times New Roman" w:hAnsi="Times New Roman" w:cs="Times New Roman"/>
          <w:sz w:val="24"/>
          <w:szCs w:val="24"/>
          <w:lang w:val="sr-Cyrl-CS"/>
        </w:rPr>
        <w:t xml:space="preserve"> </w:t>
      </w:r>
      <w:r w:rsidR="003049FD" w:rsidRPr="004831AB">
        <w:rPr>
          <w:rFonts w:ascii="Times New Roman" w:hAnsi="Times New Roman" w:cs="Times New Roman"/>
          <w:sz w:val="24"/>
          <w:szCs w:val="24"/>
          <w:lang w:val="sr-Cyrl-CS"/>
        </w:rPr>
        <w:t xml:space="preserve">и </w:t>
      </w:r>
      <w:r w:rsidR="00491F17" w:rsidRPr="004831AB">
        <w:rPr>
          <w:rFonts w:ascii="Times New Roman" w:hAnsi="Times New Roman" w:cs="Times New Roman"/>
          <w:sz w:val="24"/>
          <w:szCs w:val="24"/>
          <w:lang w:val="sr-Cyrl-CS"/>
        </w:rPr>
        <w:t>на</w:t>
      </w:r>
      <w:r w:rsidR="003049FD" w:rsidRPr="004831AB">
        <w:rPr>
          <w:rFonts w:ascii="Times New Roman" w:hAnsi="Times New Roman" w:cs="Times New Roman"/>
          <w:sz w:val="24"/>
          <w:szCs w:val="24"/>
          <w:lang w:val="sr-Cyrl-CS"/>
        </w:rPr>
        <w:t xml:space="preserve">предак у смањењу </w:t>
      </w:r>
      <w:r w:rsidR="00E522C2" w:rsidRPr="004831AB">
        <w:rPr>
          <w:rFonts w:ascii="Times New Roman" w:hAnsi="Times New Roman" w:cs="Times New Roman"/>
          <w:sz w:val="24"/>
          <w:szCs w:val="24"/>
          <w:lang w:val="sr-Cyrl-CS"/>
        </w:rPr>
        <w:t xml:space="preserve">трговинских баријера </w:t>
      </w:r>
      <w:r w:rsidR="003049FD" w:rsidRPr="004831AB">
        <w:rPr>
          <w:rFonts w:ascii="Times New Roman" w:hAnsi="Times New Roman" w:cs="Times New Roman"/>
          <w:sz w:val="24"/>
          <w:szCs w:val="24"/>
          <w:lang w:val="sr-Cyrl-CS"/>
        </w:rPr>
        <w:t>и усаглашавањ</w:t>
      </w:r>
      <w:r w:rsidR="00E522C2" w:rsidRPr="004831AB">
        <w:rPr>
          <w:rFonts w:ascii="Times New Roman" w:hAnsi="Times New Roman" w:cs="Times New Roman"/>
          <w:sz w:val="24"/>
          <w:szCs w:val="24"/>
          <w:lang w:val="sr-Cyrl-CS"/>
        </w:rPr>
        <w:t>е</w:t>
      </w:r>
      <w:r w:rsidR="003049FD" w:rsidRPr="004831AB">
        <w:rPr>
          <w:rFonts w:ascii="Times New Roman" w:hAnsi="Times New Roman" w:cs="Times New Roman"/>
          <w:sz w:val="24"/>
          <w:szCs w:val="24"/>
          <w:lang w:val="sr-Cyrl-CS"/>
        </w:rPr>
        <w:t xml:space="preserve"> са стандардима ЕУ. </w:t>
      </w:r>
    </w:p>
    <w:p w14:paraId="5289C8FD" w14:textId="4D6A9AF0" w:rsidR="004A73A8" w:rsidRPr="004831AB" w:rsidRDefault="005935BD" w:rsidP="004A73A8">
      <w:pPr>
        <w:tabs>
          <w:tab w:val="left" w:pos="0"/>
          <w:tab w:val="left" w:pos="990"/>
        </w:tabs>
        <w:spacing w:after="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ab/>
      </w:r>
      <w:r w:rsidR="00E522C2" w:rsidRPr="004831AB">
        <w:rPr>
          <w:rFonts w:ascii="Times New Roman" w:hAnsi="Times New Roman" w:cs="Times New Roman"/>
          <w:sz w:val="24"/>
          <w:szCs w:val="24"/>
          <w:lang w:val="sr-Cyrl-CS"/>
        </w:rPr>
        <w:t xml:space="preserve">Извештај такође наводи области  у којима има </w:t>
      </w:r>
      <w:r w:rsidR="004A73A8" w:rsidRPr="004831AB">
        <w:rPr>
          <w:rFonts w:ascii="Times New Roman" w:hAnsi="Times New Roman" w:cs="Times New Roman"/>
          <w:sz w:val="24"/>
          <w:szCs w:val="24"/>
          <w:lang w:val="sr-Cyrl-CS"/>
        </w:rPr>
        <w:t>највише простора за побољшањ</w:t>
      </w:r>
      <w:r w:rsidR="00E522C2" w:rsidRPr="004831AB">
        <w:rPr>
          <w:rFonts w:ascii="Times New Roman" w:hAnsi="Times New Roman" w:cs="Times New Roman"/>
          <w:sz w:val="24"/>
          <w:szCs w:val="24"/>
          <w:lang w:val="sr-Cyrl-CS"/>
        </w:rPr>
        <w:t>а</w:t>
      </w:r>
      <w:r w:rsidR="004A73A8" w:rsidRPr="004831AB">
        <w:rPr>
          <w:rFonts w:ascii="Times New Roman" w:hAnsi="Times New Roman" w:cs="Times New Roman"/>
          <w:sz w:val="24"/>
          <w:szCs w:val="24"/>
          <w:lang w:val="sr-Cyrl-CS"/>
        </w:rPr>
        <w:t>:</w:t>
      </w:r>
      <w:r w:rsidR="00E522C2" w:rsidRPr="004831AB">
        <w:rPr>
          <w:rFonts w:ascii="Times New Roman" w:hAnsi="Times New Roman" w:cs="Times New Roman"/>
          <w:sz w:val="24"/>
          <w:szCs w:val="24"/>
          <w:lang w:val="sr-Cyrl-CS"/>
        </w:rPr>
        <w:t xml:space="preserve"> </w:t>
      </w:r>
    </w:p>
    <w:p w14:paraId="0AF077E4" w14:textId="77777777" w:rsidR="004A73A8" w:rsidRPr="004831AB" w:rsidRDefault="003049FD" w:rsidP="005935BD">
      <w:pPr>
        <w:pStyle w:val="ListParagraph"/>
        <w:numPr>
          <w:ilvl w:val="0"/>
          <w:numId w:val="50"/>
        </w:numPr>
        <w:tabs>
          <w:tab w:val="left" w:pos="0"/>
          <w:tab w:val="left" w:pos="990"/>
        </w:tabs>
        <w:spacing w:after="120" w:line="240" w:lineRule="auto"/>
        <w:ind w:left="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Развој система за рано упозорење као мере за спречавање инсолвентности и одржавања здравог екосистема за МСПП (</w:t>
      </w:r>
      <w:r w:rsidR="004A73A8" w:rsidRPr="004831AB">
        <w:rPr>
          <w:rFonts w:ascii="Times New Roman" w:hAnsi="Times New Roman" w:cs="Times New Roman"/>
          <w:sz w:val="24"/>
          <w:szCs w:val="24"/>
          <w:lang w:val="sr-Cyrl-CS"/>
        </w:rPr>
        <w:t xml:space="preserve">Димензија 2: </w:t>
      </w:r>
      <w:r w:rsidR="00422D47" w:rsidRPr="004831AB">
        <w:rPr>
          <w:rFonts w:ascii="Times New Roman" w:hAnsi="Times New Roman" w:cs="Times New Roman"/>
          <w:sz w:val="24"/>
          <w:szCs w:val="24"/>
          <w:lang w:val="sr-Cyrl-CS"/>
        </w:rPr>
        <w:t xml:space="preserve">Стечај </w:t>
      </w:r>
      <w:r w:rsidR="004A73A8" w:rsidRPr="004831AB">
        <w:rPr>
          <w:rFonts w:ascii="Times New Roman" w:hAnsi="Times New Roman" w:cs="Times New Roman"/>
          <w:sz w:val="24"/>
          <w:szCs w:val="24"/>
          <w:lang w:val="sr-Cyrl-CS"/>
        </w:rPr>
        <w:t>и друга шанса</w:t>
      </w:r>
      <w:r w:rsidRPr="004831AB">
        <w:rPr>
          <w:rFonts w:ascii="Times New Roman" w:hAnsi="Times New Roman" w:cs="Times New Roman"/>
          <w:sz w:val="24"/>
          <w:szCs w:val="24"/>
          <w:lang w:val="sr-Cyrl-CS"/>
        </w:rPr>
        <w:t>);</w:t>
      </w:r>
    </w:p>
    <w:p w14:paraId="46342179" w14:textId="77777777" w:rsidR="008B068D" w:rsidRPr="004831AB" w:rsidRDefault="003049FD" w:rsidP="005935BD">
      <w:pPr>
        <w:pStyle w:val="ListParagraph"/>
        <w:numPr>
          <w:ilvl w:val="0"/>
          <w:numId w:val="50"/>
        </w:numPr>
        <w:tabs>
          <w:tab w:val="left" w:pos="0"/>
          <w:tab w:val="left" w:pos="990"/>
        </w:tabs>
        <w:spacing w:after="120" w:line="240" w:lineRule="auto"/>
        <w:ind w:left="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Увођење свеобухватног правног оквира како би се олакшало успостављање небанкарских финансијских инструмената (Димензија </w:t>
      </w:r>
      <w:r w:rsidR="008B068D" w:rsidRPr="004831AB">
        <w:rPr>
          <w:rFonts w:ascii="Times New Roman" w:hAnsi="Times New Roman" w:cs="Times New Roman"/>
          <w:sz w:val="24"/>
          <w:szCs w:val="24"/>
          <w:lang w:val="sr-Cyrl-CS"/>
        </w:rPr>
        <w:t>6. Приступ финансијама за МСП</w:t>
      </w:r>
      <w:r w:rsidR="00640CAE" w:rsidRPr="004831AB">
        <w:rPr>
          <w:rFonts w:ascii="Times New Roman" w:hAnsi="Times New Roman" w:cs="Times New Roman"/>
          <w:sz w:val="24"/>
          <w:szCs w:val="24"/>
          <w:lang w:val="sr-Cyrl-CS"/>
        </w:rPr>
        <w:t>П</w:t>
      </w:r>
      <w:r w:rsidR="008B068D" w:rsidRPr="004831AB">
        <w:rPr>
          <w:rFonts w:ascii="Times New Roman" w:hAnsi="Times New Roman" w:cs="Times New Roman"/>
          <w:sz w:val="24"/>
          <w:szCs w:val="24"/>
          <w:lang w:val="sr-Cyrl-CS"/>
        </w:rPr>
        <w:t>);</w:t>
      </w:r>
    </w:p>
    <w:p w14:paraId="58F4E8E9" w14:textId="37383C93" w:rsidR="008B068D" w:rsidRPr="004831AB" w:rsidRDefault="008B068D" w:rsidP="005935BD">
      <w:pPr>
        <w:pStyle w:val="ListParagraph"/>
        <w:numPr>
          <w:ilvl w:val="0"/>
          <w:numId w:val="50"/>
        </w:numPr>
        <w:tabs>
          <w:tab w:val="left" w:pos="0"/>
          <w:tab w:val="left" w:pos="990"/>
        </w:tabs>
        <w:spacing w:after="120" w:line="240" w:lineRule="auto"/>
        <w:ind w:left="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Успостављање свеобухватног праћења </w:t>
      </w:r>
      <w:r w:rsidR="00E522C2" w:rsidRPr="004831AB">
        <w:rPr>
          <w:rFonts w:ascii="Times New Roman" w:hAnsi="Times New Roman" w:cs="Times New Roman"/>
          <w:sz w:val="24"/>
          <w:szCs w:val="24"/>
          <w:lang w:val="sr-Cyrl-CS"/>
        </w:rPr>
        <w:t xml:space="preserve">спровођења </w:t>
      </w:r>
      <w:r w:rsidRPr="004831AB">
        <w:rPr>
          <w:rFonts w:ascii="Times New Roman" w:hAnsi="Times New Roman" w:cs="Times New Roman"/>
          <w:sz w:val="24"/>
          <w:szCs w:val="24"/>
          <w:lang w:val="sr-Cyrl-CS"/>
        </w:rPr>
        <w:t xml:space="preserve">и вредновања резултата свих програма који се односе на предузетничко учење и </w:t>
      </w:r>
      <w:r w:rsidR="00E522C2" w:rsidRPr="004831AB">
        <w:rPr>
          <w:rFonts w:ascii="Times New Roman" w:hAnsi="Times New Roman" w:cs="Times New Roman"/>
          <w:sz w:val="24"/>
          <w:szCs w:val="24"/>
          <w:lang w:val="sr-Cyrl-CS"/>
        </w:rPr>
        <w:t xml:space="preserve">унапређење </w:t>
      </w:r>
      <w:r w:rsidRPr="004831AB">
        <w:rPr>
          <w:rFonts w:ascii="Times New Roman" w:hAnsi="Times New Roman" w:cs="Times New Roman"/>
          <w:sz w:val="24"/>
          <w:szCs w:val="24"/>
          <w:lang w:val="sr-Cyrl-CS"/>
        </w:rPr>
        <w:t xml:space="preserve">вештине, </w:t>
      </w:r>
      <w:r w:rsidR="00E522C2" w:rsidRPr="004831AB">
        <w:rPr>
          <w:rFonts w:ascii="Times New Roman" w:hAnsi="Times New Roman" w:cs="Times New Roman"/>
          <w:sz w:val="24"/>
          <w:szCs w:val="24"/>
          <w:lang w:val="sr-Cyrl-CS"/>
        </w:rPr>
        <w:t xml:space="preserve">које треба да </w:t>
      </w:r>
      <w:r w:rsidRPr="004831AB">
        <w:rPr>
          <w:rFonts w:ascii="Times New Roman" w:hAnsi="Times New Roman" w:cs="Times New Roman"/>
          <w:sz w:val="24"/>
          <w:szCs w:val="24"/>
          <w:lang w:val="sr-Cyrl-CS"/>
        </w:rPr>
        <w:t xml:space="preserve">укључи </w:t>
      </w:r>
      <w:r w:rsidR="00E522C2" w:rsidRPr="004831AB">
        <w:rPr>
          <w:rFonts w:ascii="Times New Roman" w:hAnsi="Times New Roman" w:cs="Times New Roman"/>
          <w:sz w:val="24"/>
          <w:szCs w:val="24"/>
          <w:lang w:val="sr-Cyrl-CS"/>
        </w:rPr>
        <w:t>родни аспект</w:t>
      </w:r>
      <w:r w:rsidRPr="004831AB">
        <w:rPr>
          <w:rFonts w:ascii="Times New Roman" w:hAnsi="Times New Roman" w:cs="Times New Roman"/>
          <w:sz w:val="24"/>
          <w:szCs w:val="24"/>
          <w:lang w:val="sr-Cyrl-CS"/>
        </w:rPr>
        <w:t xml:space="preserve"> (Димензија 1. Предузетничко учење и женско предузетништво);</w:t>
      </w:r>
    </w:p>
    <w:p w14:paraId="46981733" w14:textId="3E1B1681" w:rsidR="008B068D" w:rsidRPr="004831AB" w:rsidRDefault="008B068D" w:rsidP="005935BD">
      <w:pPr>
        <w:pStyle w:val="ListParagraph"/>
        <w:numPr>
          <w:ilvl w:val="0"/>
          <w:numId w:val="50"/>
        </w:numPr>
        <w:tabs>
          <w:tab w:val="left" w:pos="0"/>
          <w:tab w:val="left" w:pos="990"/>
        </w:tabs>
        <w:spacing w:after="120" w:line="240" w:lineRule="auto"/>
        <w:ind w:left="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 xml:space="preserve">Унапређивање финансијске подршке која би охрабрила </w:t>
      </w:r>
      <w:r w:rsidR="00E522C2"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озелењавање</w:t>
      </w:r>
      <w:r w:rsidR="00A02E91"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МСПП (Димензија 9. МСП у зеленој економији);</w:t>
      </w:r>
    </w:p>
    <w:p w14:paraId="53BED039" w14:textId="77777777" w:rsidR="004A73A8" w:rsidRPr="004831AB" w:rsidRDefault="00E522C2" w:rsidP="005935BD">
      <w:pPr>
        <w:pStyle w:val="ListParagraph"/>
        <w:numPr>
          <w:ilvl w:val="0"/>
          <w:numId w:val="50"/>
        </w:numPr>
        <w:tabs>
          <w:tab w:val="left" w:pos="0"/>
          <w:tab w:val="left" w:pos="990"/>
        </w:tabs>
        <w:spacing w:after="120" w:line="240" w:lineRule="auto"/>
        <w:ind w:left="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Изградња </w:t>
      </w:r>
      <w:r w:rsidR="008B068D" w:rsidRPr="004831AB">
        <w:rPr>
          <w:rFonts w:ascii="Times New Roman" w:hAnsi="Times New Roman" w:cs="Times New Roman"/>
          <w:sz w:val="24"/>
          <w:szCs w:val="24"/>
          <w:lang w:val="sr-Cyrl-CS"/>
        </w:rPr>
        <w:t>поверења у е-трговини између потрошача и МСП</w:t>
      </w:r>
      <w:r w:rsidR="00640CAE" w:rsidRPr="004831AB">
        <w:rPr>
          <w:rFonts w:ascii="Times New Roman" w:hAnsi="Times New Roman" w:cs="Times New Roman"/>
          <w:sz w:val="24"/>
          <w:szCs w:val="24"/>
          <w:lang w:val="sr-Cyrl-CS"/>
        </w:rPr>
        <w:t>П</w:t>
      </w:r>
      <w:r w:rsidR="008B068D" w:rsidRPr="004831AB">
        <w:rPr>
          <w:rFonts w:ascii="Times New Roman" w:hAnsi="Times New Roman" w:cs="Times New Roman"/>
          <w:sz w:val="24"/>
          <w:szCs w:val="24"/>
          <w:lang w:val="sr-Cyrl-CS"/>
        </w:rPr>
        <w:t xml:space="preserve"> (Димензија 10. Интернационализација МСП</w:t>
      </w:r>
      <w:r w:rsidR="00640CAE" w:rsidRPr="004831AB">
        <w:rPr>
          <w:rFonts w:ascii="Times New Roman" w:hAnsi="Times New Roman" w:cs="Times New Roman"/>
          <w:sz w:val="24"/>
          <w:szCs w:val="24"/>
          <w:lang w:val="sr-Cyrl-CS"/>
        </w:rPr>
        <w:t>П</w:t>
      </w:r>
      <w:r w:rsidR="008B068D" w:rsidRPr="004831AB">
        <w:rPr>
          <w:rFonts w:ascii="Times New Roman" w:hAnsi="Times New Roman" w:cs="Times New Roman"/>
          <w:sz w:val="24"/>
          <w:szCs w:val="24"/>
          <w:lang w:val="sr-Cyrl-CS"/>
        </w:rPr>
        <w:t xml:space="preserve">).  </w:t>
      </w:r>
    </w:p>
    <w:p w14:paraId="5A470C99" w14:textId="5AA82814" w:rsidR="00F32D29" w:rsidRPr="004831AB" w:rsidRDefault="00B25EF2" w:rsidP="002A07FB">
      <w:pPr>
        <w:pStyle w:val="Heading1"/>
        <w:jc w:val="center"/>
        <w:rPr>
          <w:rFonts w:cs="Times New Roman"/>
          <w:b w:val="0"/>
          <w:sz w:val="24"/>
          <w:szCs w:val="24"/>
          <w:lang w:val="sr-Cyrl-CS"/>
        </w:rPr>
      </w:pPr>
      <w:r w:rsidRPr="004831AB">
        <w:rPr>
          <w:b w:val="0"/>
          <w:sz w:val="24"/>
          <w:szCs w:val="24"/>
          <w:lang w:val="sr-Cyrl-CS"/>
        </w:rPr>
        <w:t>Опис постојећег стања</w:t>
      </w:r>
    </w:p>
    <w:p w14:paraId="72BB2704" w14:textId="49D2143A" w:rsidR="00FF6A58" w:rsidRPr="004831AB" w:rsidRDefault="00A92119" w:rsidP="00A92119">
      <w:pPr>
        <w:pStyle w:val="Heading2"/>
        <w:numPr>
          <w:ilvl w:val="1"/>
          <w:numId w:val="53"/>
        </w:numPr>
        <w:rPr>
          <w:b w:val="0"/>
          <w:lang w:val="sr-Cyrl-CS"/>
        </w:rPr>
      </w:pPr>
      <w:r w:rsidRPr="004831AB">
        <w:rPr>
          <w:b w:val="0"/>
          <w:lang w:val="sr-Cyrl-CS"/>
        </w:rPr>
        <w:t xml:space="preserve"> </w:t>
      </w:r>
      <w:r w:rsidR="00FF6A58" w:rsidRPr="004831AB">
        <w:rPr>
          <w:b w:val="0"/>
          <w:lang w:val="sr-Cyrl-CS"/>
        </w:rPr>
        <w:t>Преглед и анализа постојећег стања</w:t>
      </w:r>
    </w:p>
    <w:p w14:paraId="10D4B1B4" w14:textId="77777777" w:rsidR="00FF6A58" w:rsidRPr="004831AB" w:rsidRDefault="00FF6A58" w:rsidP="000C0CBE">
      <w:pPr>
        <w:pStyle w:val="Heading2"/>
        <w:ind w:firstLine="0"/>
        <w:rPr>
          <w:rStyle w:val="normaltextrun"/>
          <w:b w:val="0"/>
          <w:lang w:val="sr-Cyrl-CS"/>
        </w:rPr>
      </w:pPr>
      <w:r w:rsidRPr="004831AB">
        <w:rPr>
          <w:rStyle w:val="normaltextrun"/>
          <w:b w:val="0"/>
          <w:lang w:val="sr-Cyrl-CS"/>
        </w:rPr>
        <w:t>Макроекономска кретања</w:t>
      </w:r>
    </w:p>
    <w:p w14:paraId="4B24FD4A" w14:textId="416E4501" w:rsidR="006422F3" w:rsidRPr="004831AB" w:rsidRDefault="006422F3" w:rsidP="002A07FB">
      <w:pPr>
        <w:pStyle w:val="paragraph"/>
        <w:ind w:firstLine="714"/>
        <w:jc w:val="both"/>
        <w:textAlignment w:val="baseline"/>
        <w:rPr>
          <w:lang w:val="sr-Cyrl-CS"/>
        </w:rPr>
      </w:pPr>
      <w:r w:rsidRPr="004831AB">
        <w:rPr>
          <w:rStyle w:val="normaltextrun"/>
          <w:lang w:val="sr-Cyrl-CS"/>
        </w:rPr>
        <w:t xml:space="preserve">На макроекономску ситуацију у протеклом периоду значајно су </w:t>
      </w:r>
      <w:r w:rsidR="00E94EC1" w:rsidRPr="004831AB">
        <w:rPr>
          <w:rStyle w:val="normaltextrun"/>
          <w:lang w:val="sr-Cyrl-CS"/>
        </w:rPr>
        <w:t>утицали најпре пандемија вируса</w:t>
      </w:r>
      <w:r w:rsidR="00E94EC1" w:rsidRPr="004831AB">
        <w:rPr>
          <w:rStyle w:val="normaltextrun"/>
          <w:i/>
          <w:iCs/>
          <w:lang w:val="sr-Cyrl-CS"/>
        </w:rPr>
        <w:t xml:space="preserve"> </w:t>
      </w:r>
      <w:r w:rsidR="00E94EC1" w:rsidRPr="004831AB">
        <w:rPr>
          <w:rStyle w:val="normaltextrun"/>
          <w:iCs/>
          <w:lang w:val="sr-Cyrl-CS"/>
        </w:rPr>
        <w:t>COVID-</w:t>
      </w:r>
      <w:r w:rsidR="00E94EC1" w:rsidRPr="004831AB">
        <w:rPr>
          <w:rStyle w:val="normaltextrun"/>
          <w:lang w:val="sr-Cyrl-CS"/>
        </w:rPr>
        <w:t>19,</w:t>
      </w:r>
      <w:r w:rsidRPr="004831AB">
        <w:rPr>
          <w:rStyle w:val="normaltextrun"/>
          <w:lang w:val="sr-Cyrl-CS"/>
        </w:rPr>
        <w:t xml:space="preserve"> а затим и ратни сукоб у Украјини, који су након периода раста и експанзије привреде донели ризике како по питању будућег економског раста тако и очувања макроекономске стабилности. Тек што је привреда у </w:t>
      </w:r>
      <w:r w:rsidR="00BF16E5" w:rsidRPr="004831AB">
        <w:rPr>
          <w:rStyle w:val="normaltextrun"/>
          <w:lang w:val="sr-Cyrl-CS"/>
        </w:rPr>
        <w:t xml:space="preserve"> Републици </w:t>
      </w:r>
      <w:r w:rsidRPr="004831AB">
        <w:rPr>
          <w:rStyle w:val="normaltextrun"/>
          <w:lang w:val="sr-Cyrl-CS"/>
        </w:rPr>
        <w:t xml:space="preserve">Србији, али и глобално, </w:t>
      </w:r>
      <w:r w:rsidR="00BF16E5" w:rsidRPr="004831AB">
        <w:rPr>
          <w:rStyle w:val="normaltextrun"/>
          <w:lang w:val="sr-Cyrl-CS"/>
        </w:rPr>
        <w:t>започела опоравак</w:t>
      </w:r>
      <w:r w:rsidRPr="004831AB">
        <w:rPr>
          <w:rStyle w:val="normaltextrun"/>
          <w:lang w:val="sr-Cyrl-CS"/>
        </w:rPr>
        <w:t xml:space="preserve"> од последица вируса </w:t>
      </w:r>
      <w:r w:rsidRPr="004831AB">
        <w:rPr>
          <w:rStyle w:val="normaltextrun"/>
          <w:iCs/>
          <w:lang w:val="sr-Cyrl-CS"/>
        </w:rPr>
        <w:t>COVID-</w:t>
      </w:r>
      <w:r w:rsidRPr="004831AB">
        <w:rPr>
          <w:rStyle w:val="normaltextrun"/>
          <w:lang w:val="sr-Cyrl-CS"/>
        </w:rPr>
        <w:t>19, уз обећавајуће пројекције за период 2022 – 2024. година</w:t>
      </w:r>
      <w:r w:rsidRPr="004831AB">
        <w:rPr>
          <w:rStyle w:val="FootnoteReference"/>
          <w:lang w:val="sr-Cyrl-CS"/>
        </w:rPr>
        <w:footnoteReference w:customMarkFollows="1" w:id="22"/>
        <w:t>[1]</w:t>
      </w:r>
      <w:r w:rsidRPr="004831AB">
        <w:rPr>
          <w:rStyle w:val="normaltextrun"/>
          <w:lang w:val="sr-Cyrl-CS"/>
        </w:rPr>
        <w:t xml:space="preserve">, економију је погодила нова криза, изазвана сукобима у Украјини крајем фебруара 2022. године. Последице ове нове кризе почеле су да се осећају у другом кварталу </w:t>
      </w:r>
      <w:r w:rsidR="00B65FD6" w:rsidRPr="004831AB">
        <w:rPr>
          <w:rStyle w:val="normaltextrun"/>
          <w:lang w:val="sr-Cyrl-CS"/>
        </w:rPr>
        <w:t>2022</w:t>
      </w:r>
      <w:r w:rsidRPr="004831AB">
        <w:rPr>
          <w:rStyle w:val="normaltextrun"/>
          <w:lang w:val="sr-Cyrl-CS"/>
        </w:rPr>
        <w:t xml:space="preserve">. године, кроз раст цена енергената, хране и одређених сировина, промене транспортних рута,  као и новог поремећаја у глобалним ланцима снабдевања, </w:t>
      </w:r>
      <w:r w:rsidR="00B65FD6" w:rsidRPr="004831AB">
        <w:rPr>
          <w:rStyle w:val="normaltextrun"/>
          <w:lang w:val="sr-Cyrl-CS"/>
        </w:rPr>
        <w:t xml:space="preserve">али ће негативни ефекти бити присутни и у наредном периоду </w:t>
      </w:r>
      <w:r w:rsidRPr="004831AB">
        <w:rPr>
          <w:rStyle w:val="normaltextrun"/>
          <w:lang w:val="sr-Cyrl-CS"/>
        </w:rPr>
        <w:t xml:space="preserve">јер су покренуте </w:t>
      </w:r>
      <w:r w:rsidRPr="004831AB">
        <w:rPr>
          <w:lang w:val="sr-Cyrl-CS"/>
        </w:rPr>
        <w:t>структурне промене у геополитичком и економском окружењу. Те промене огледају се у заоштравању политичких односа, динамичном прекомпоновању међусобних економских односа великих привреда са трендом деглобализације и убрзаној енергетској транзицији праћеној радикалним променама извора снабдевања.</w:t>
      </w:r>
      <w:r w:rsidRPr="004831AB">
        <w:rPr>
          <w:rStyle w:val="normaltextrun"/>
          <w:lang w:val="sr-Cyrl-CS"/>
        </w:rPr>
        <w:t xml:space="preserve"> Висока</w:t>
      </w:r>
      <w:r w:rsidRPr="004831AB">
        <w:rPr>
          <w:lang w:val="sr-Cyrl-CS"/>
        </w:rPr>
        <w:t xml:space="preserve"> инфлација попримила је дугорочни карактер на глобалном нивоу, што је последично довело до заоштравања монетарних политика централних банака и раста трошкова задуживања, чиме је додатно успорена привредна активност великог дела глобалне привреде, уз све већи ризик од уласка у рецесију. </w:t>
      </w:r>
    </w:p>
    <w:p w14:paraId="6515D66C" w14:textId="637031B8" w:rsidR="006422F3" w:rsidRPr="004831AB" w:rsidRDefault="006422F3" w:rsidP="002A07FB">
      <w:pPr>
        <w:pStyle w:val="paragraph"/>
        <w:spacing w:before="0" w:beforeAutospacing="0" w:after="120" w:afterAutospacing="0"/>
        <w:ind w:firstLine="714"/>
        <w:jc w:val="both"/>
        <w:textAlignment w:val="baseline"/>
        <w:rPr>
          <w:rStyle w:val="normaltextrun"/>
          <w:lang w:val="sr-Cyrl-CS"/>
        </w:rPr>
      </w:pPr>
      <w:r w:rsidRPr="004831AB">
        <w:rPr>
          <w:rStyle w:val="normaltextrun"/>
          <w:lang w:val="sr-Cyrl-CS"/>
        </w:rPr>
        <w:t xml:space="preserve">Правовременим реакцијама и пакетима мера подршке како привреди, тако и становништву,  Република Србије се успешно изборила са последицама економске кризе узроковане пандемијом </w:t>
      </w:r>
      <w:r w:rsidR="00D10C76" w:rsidRPr="004831AB">
        <w:rPr>
          <w:rStyle w:val="normaltextrun"/>
          <w:lang w:val="sr-Cyrl-CS"/>
        </w:rPr>
        <w:t xml:space="preserve">вируса </w:t>
      </w:r>
      <w:r w:rsidR="00D10C76" w:rsidRPr="004831AB">
        <w:rPr>
          <w:rStyle w:val="normaltextrun"/>
          <w:iCs/>
          <w:lang w:val="sr-Cyrl-CS"/>
        </w:rPr>
        <w:t>COVID-</w:t>
      </w:r>
      <w:r w:rsidR="00D10C76" w:rsidRPr="004831AB">
        <w:rPr>
          <w:rStyle w:val="normaltextrun"/>
          <w:lang w:val="sr-Cyrl-CS"/>
        </w:rPr>
        <w:t>19</w:t>
      </w:r>
      <w:r w:rsidRPr="004831AB">
        <w:rPr>
          <w:rStyle w:val="normaltextrun"/>
          <w:lang w:val="sr-Cyrl-CS"/>
        </w:rPr>
        <w:t>. Током две пандемијске године кумулативан раст БДП је био 6,4%</w:t>
      </w:r>
      <w:r w:rsidRPr="004831AB">
        <w:rPr>
          <w:rStyle w:val="FootnoteReference"/>
          <w:lang w:val="sr-Cyrl-CS"/>
        </w:rPr>
        <w:footnoteReference w:customMarkFollows="1" w:id="23"/>
        <w:t>[2]</w:t>
      </w:r>
      <w:r w:rsidRPr="004831AB">
        <w:rPr>
          <w:rStyle w:val="normaltextrun"/>
          <w:lang w:val="sr-Cyrl-CS"/>
        </w:rPr>
        <w:t xml:space="preserve"> што је представљао један од најбољих резултата у Европи, а  </w:t>
      </w:r>
      <w:r w:rsidRPr="004831AB">
        <w:rPr>
          <w:lang w:val="sr-Cyrl-CS"/>
        </w:rPr>
        <w:t xml:space="preserve">већ у првом кварталу 2021. године домаћа привреда је премашила ниво економске активности из предпандемијског периода и наставила опоравак. </w:t>
      </w:r>
      <w:r w:rsidRPr="004831AB">
        <w:rPr>
          <w:rStyle w:val="normaltextrun"/>
          <w:lang w:val="sr-Cyrl-CS"/>
        </w:rPr>
        <w:t>Доминантни носилац тог раста био је услужни сектор, који је истовремено био и највише по</w:t>
      </w:r>
      <w:r w:rsidR="00DC294E" w:rsidRPr="004831AB">
        <w:rPr>
          <w:rStyle w:val="normaltextrun"/>
          <w:lang w:val="sr-Cyrl-CS"/>
        </w:rPr>
        <w:t>гођен пандемијом у 2020 години.</w:t>
      </w:r>
      <w:r w:rsidRPr="004831AB">
        <w:rPr>
          <w:rStyle w:val="normaltextrun"/>
          <w:lang w:val="sr-Cyrl-CS"/>
        </w:rPr>
        <w:t xml:space="preserve"> Нарочито добре резултате остварио је с</w:t>
      </w:r>
      <w:r w:rsidR="00DC294E" w:rsidRPr="004831AB">
        <w:rPr>
          <w:lang w:val="sr-Cyrl-CS"/>
        </w:rPr>
        <w:t>ектор информационо-</w:t>
      </w:r>
      <w:r w:rsidRPr="004831AB">
        <w:rPr>
          <w:lang w:val="sr-Cyrl-CS"/>
        </w:rPr>
        <w:t xml:space="preserve">комуникационих технологија, који је током две пандемијске године достигао кумулативни раст БДВ од 14,3%, уз раст извоза ИКТ услуга од 30,6%, а трендови раста су се наставили и у 2022. години. </w:t>
      </w:r>
      <w:r w:rsidRPr="004831AB">
        <w:rPr>
          <w:rStyle w:val="normaltextrun"/>
          <w:lang w:val="sr-Cyrl-CS"/>
        </w:rPr>
        <w:t xml:space="preserve">Индустријска производња и грађевинска активност су такође допринели опоравку, док је једино пољопривреда имала негативан допринос. </w:t>
      </w:r>
    </w:p>
    <w:p w14:paraId="11CFE593" w14:textId="77777777" w:rsidR="006422F3" w:rsidRPr="004831AB" w:rsidRDefault="006422F3" w:rsidP="002A07FB">
      <w:pPr>
        <w:pStyle w:val="paragraph"/>
        <w:spacing w:before="0" w:beforeAutospacing="0" w:after="120" w:afterAutospacing="0"/>
        <w:ind w:firstLine="714"/>
        <w:jc w:val="both"/>
        <w:textAlignment w:val="baseline"/>
        <w:rPr>
          <w:rStyle w:val="normaltextrun"/>
          <w:lang w:val="sr-Cyrl-CS"/>
        </w:rPr>
      </w:pPr>
      <w:r w:rsidRPr="004831AB">
        <w:rPr>
          <w:rStyle w:val="normaltextrun"/>
          <w:lang w:val="sr-Cyrl-CS"/>
        </w:rPr>
        <w:t xml:space="preserve">Поред тога, дошло је и до структурних побољшања која се огледају у креирању нових и проширењу постојећих извозно конкурентних производних капацитета, као и у даљем </w:t>
      </w:r>
      <w:r w:rsidRPr="004831AB">
        <w:rPr>
          <w:rStyle w:val="normaltextrun"/>
          <w:lang w:val="sr-Cyrl-CS"/>
        </w:rPr>
        <w:lastRenderedPageBreak/>
        <w:t>убрзаном развоју путне и железничке инфраструктуре којима се трајно повећао потенцијал домаће привреде. Такође, прилив страних директних инвестиција (СДИ) које су обезбеђивале више него пуну покривеност дефицита текућег рачуна, наставио је да буде стабилан. Раст економске активности и пакет економске подршке резултирали су очувањем радним места, са стопом незапослености у 2022. од 9,4% години, што је испод претпандемијског нивоа.</w:t>
      </w:r>
      <w:r w:rsidRPr="004831AB">
        <w:rPr>
          <w:rStyle w:val="FootnoteReference"/>
          <w:lang w:val="sr-Cyrl-CS"/>
        </w:rPr>
        <w:footnoteReference w:customMarkFollows="1" w:id="24"/>
        <w:t>[3]</w:t>
      </w:r>
    </w:p>
    <w:p w14:paraId="6FA6E0F0" w14:textId="0EA03C16" w:rsidR="006422F3" w:rsidRPr="004831AB" w:rsidRDefault="006422F3" w:rsidP="002A07FB">
      <w:pPr>
        <w:pStyle w:val="paragraph"/>
        <w:spacing w:before="0" w:beforeAutospacing="0" w:after="120" w:afterAutospacing="0"/>
        <w:ind w:firstLine="714"/>
        <w:jc w:val="both"/>
        <w:textAlignment w:val="baseline"/>
        <w:rPr>
          <w:lang w:val="sr-Cyrl-CS"/>
        </w:rPr>
      </w:pPr>
      <w:r w:rsidRPr="004831AB">
        <w:rPr>
          <w:rStyle w:val="normaltextrun"/>
          <w:lang w:val="sr-Cyrl-CS"/>
        </w:rPr>
        <w:t xml:space="preserve">Услед опоравка светске привреде и екстерне тражње, извоз роба и услуга у 2021. години бележи интензиван раст, који се наставља и током 2022. године упркос поремећајима у глобалним ланцима снабдевања. Најзначајнији спољнотрговински партнери су државе чланице ЕУ, </w:t>
      </w:r>
      <w:r w:rsidR="001A3680" w:rsidRPr="004831AB">
        <w:rPr>
          <w:rStyle w:val="normaltextrun"/>
          <w:lang w:val="sr-Cyrl-CS"/>
        </w:rPr>
        <w:t>Н</w:t>
      </w:r>
      <w:r w:rsidR="00BF7C64" w:rsidRPr="004831AB">
        <w:rPr>
          <w:rStyle w:val="normaltextrun"/>
          <w:lang w:val="sr-Cyrl-CS"/>
        </w:rPr>
        <w:t>ародне</w:t>
      </w:r>
      <w:r w:rsidR="001A3680" w:rsidRPr="004831AB">
        <w:rPr>
          <w:rStyle w:val="normaltextrun"/>
          <w:lang w:val="sr-Cyrl-CS"/>
        </w:rPr>
        <w:t xml:space="preserve"> Р</w:t>
      </w:r>
      <w:r w:rsidR="00BF7C64" w:rsidRPr="004831AB">
        <w:rPr>
          <w:rStyle w:val="normaltextrun"/>
          <w:lang w:val="sr-Cyrl-CS"/>
        </w:rPr>
        <w:t>епублике</w:t>
      </w:r>
      <w:r w:rsidR="001A3680" w:rsidRPr="004831AB">
        <w:rPr>
          <w:rStyle w:val="normaltextrun"/>
          <w:lang w:val="sr-Cyrl-CS"/>
        </w:rPr>
        <w:t xml:space="preserve"> </w:t>
      </w:r>
      <w:r w:rsidR="00BF7C64" w:rsidRPr="004831AB">
        <w:rPr>
          <w:rStyle w:val="normaltextrun"/>
          <w:lang w:val="sr-Cyrl-CS"/>
        </w:rPr>
        <w:t>Кине, Руске</w:t>
      </w:r>
      <w:r w:rsidR="001A3680" w:rsidRPr="004831AB">
        <w:rPr>
          <w:rStyle w:val="normaltextrun"/>
          <w:lang w:val="sr-Cyrl-CS"/>
        </w:rPr>
        <w:t xml:space="preserve"> Ф</w:t>
      </w:r>
      <w:r w:rsidR="00BF7C64" w:rsidRPr="004831AB">
        <w:rPr>
          <w:rStyle w:val="normaltextrun"/>
          <w:lang w:val="sr-Cyrl-CS"/>
        </w:rPr>
        <w:t>едерације</w:t>
      </w:r>
      <w:r w:rsidRPr="004831AB">
        <w:rPr>
          <w:rStyle w:val="normaltextrun"/>
          <w:lang w:val="sr-Cyrl-CS"/>
        </w:rPr>
        <w:t xml:space="preserve"> и ЦЕФТА. Током 2022. године, реални извоз је порастао </w:t>
      </w:r>
      <w:r w:rsidRPr="004831AB">
        <w:rPr>
          <w:lang w:val="sr-Cyrl-CS"/>
        </w:rPr>
        <w:t xml:space="preserve">за око 26,3%, али је истовремено, увоз је забележио још већи  раст, од око 34,8% услед повећаног увоза енергената како би се осигурала сигурност снабдевања домаћих потрошача и обезбедио одређен ниво залиха. </w:t>
      </w:r>
    </w:p>
    <w:p w14:paraId="187CE36F" w14:textId="2274D760" w:rsidR="006422F3" w:rsidRPr="004831AB" w:rsidRDefault="00B65FD6" w:rsidP="0089655B">
      <w:pPr>
        <w:pStyle w:val="paragraph"/>
        <w:spacing w:before="0" w:beforeAutospacing="0" w:after="120" w:afterAutospacing="0"/>
        <w:ind w:firstLine="714"/>
        <w:jc w:val="both"/>
        <w:textAlignment w:val="baseline"/>
        <w:rPr>
          <w:lang w:val="sr-Cyrl-CS"/>
        </w:rPr>
      </w:pPr>
      <w:r w:rsidRPr="004831AB">
        <w:rPr>
          <w:lang w:val="sr-Cyrl-CS"/>
        </w:rPr>
        <w:t>У</w:t>
      </w:r>
      <w:r w:rsidR="006422F3" w:rsidRPr="004831AB">
        <w:rPr>
          <w:lang w:val="sr-Cyrl-CS"/>
        </w:rPr>
        <w:t xml:space="preserve"> 2022. години остварен</w:t>
      </w:r>
      <w:r w:rsidRPr="004831AB">
        <w:rPr>
          <w:lang w:val="sr-Cyrl-CS"/>
        </w:rPr>
        <w:t xml:space="preserve"> је</w:t>
      </w:r>
      <w:r w:rsidR="006422F3" w:rsidRPr="004831AB">
        <w:rPr>
          <w:lang w:val="sr-Cyrl-CS"/>
        </w:rPr>
        <w:t xml:space="preserve"> раст БДП Србије од 2,3%</w:t>
      </w:r>
      <w:r w:rsidR="006422F3" w:rsidRPr="004831AB">
        <w:rPr>
          <w:rStyle w:val="FootnoteReference"/>
          <w:lang w:val="sr-Cyrl-CS"/>
        </w:rPr>
        <w:footnoteReference w:customMarkFollows="1" w:id="25"/>
        <w:t>[4]</w:t>
      </w:r>
      <w:r w:rsidR="006422F3" w:rsidRPr="004831AB">
        <w:rPr>
          <w:lang w:val="sr-Cyrl-CS"/>
        </w:rPr>
        <w:t xml:space="preserve">, </w:t>
      </w:r>
      <w:r w:rsidRPr="004831AB">
        <w:rPr>
          <w:lang w:val="sr-Cyrl-CS"/>
        </w:rPr>
        <w:t xml:space="preserve">а </w:t>
      </w:r>
      <w:r w:rsidR="006422F3" w:rsidRPr="004831AB">
        <w:rPr>
          <w:lang w:val="sr-Cyrl-CS"/>
        </w:rPr>
        <w:t xml:space="preserve">због </w:t>
      </w:r>
      <w:r w:rsidRPr="004831AB">
        <w:rPr>
          <w:lang w:val="sr-Cyrl-CS"/>
        </w:rPr>
        <w:t xml:space="preserve">и даље присутних </w:t>
      </w:r>
      <w:r w:rsidR="006422F3" w:rsidRPr="004831AB">
        <w:rPr>
          <w:lang w:val="sr-Cyrl-CS"/>
        </w:rPr>
        <w:t>негативних ефеката геополитичких дешавања на динамику домаће привредне активности пројекција привредног раста за 2023. је на 2,5 %.</w:t>
      </w:r>
      <w:r w:rsidRPr="004831AB">
        <w:rPr>
          <w:lang w:val="sr-Cyrl-CS"/>
        </w:rPr>
        <w:t xml:space="preserve"> Од 2024. очекује се убрзање раста на 3,5%, а након тога његова стабилизација на нивоу од око 4%.</w:t>
      </w:r>
      <w:r w:rsidRPr="004831AB">
        <w:rPr>
          <w:rStyle w:val="FootnoteReference"/>
          <w:vertAlign w:val="baseline"/>
          <w:lang w:val="sr-Cyrl-CS"/>
        </w:rPr>
        <w:t xml:space="preserve"> </w:t>
      </w:r>
      <w:r w:rsidR="006422F3" w:rsidRPr="004831AB">
        <w:rPr>
          <w:rStyle w:val="FootnoteReference"/>
          <w:lang w:val="sr-Cyrl-CS"/>
        </w:rPr>
        <w:footnoteReference w:customMarkFollows="1" w:id="26"/>
        <w:t>[5]</w:t>
      </w:r>
      <w:r w:rsidR="006422F3" w:rsidRPr="004831AB">
        <w:rPr>
          <w:lang w:val="sr-Cyrl-CS"/>
        </w:rPr>
        <w:t xml:space="preserve"> Рекордне цене енергената уз повећање увезених количина </w:t>
      </w:r>
      <w:r w:rsidRPr="004831AB">
        <w:rPr>
          <w:lang w:val="sr-Cyrl-CS"/>
        </w:rPr>
        <w:t xml:space="preserve">одразиле су </w:t>
      </w:r>
      <w:r w:rsidR="006422F3" w:rsidRPr="004831AB">
        <w:rPr>
          <w:lang w:val="sr-Cyrl-CS"/>
        </w:rPr>
        <w:t xml:space="preserve">се на погоршање дефицита робне размене и  платнобилансних </w:t>
      </w:r>
      <w:r w:rsidRPr="004831AB">
        <w:rPr>
          <w:lang w:val="sr-Cyrl-CS"/>
        </w:rPr>
        <w:t xml:space="preserve">кретања </w:t>
      </w:r>
      <w:r w:rsidR="006422F3" w:rsidRPr="004831AB">
        <w:rPr>
          <w:lang w:val="sr-Cyrl-CS"/>
        </w:rPr>
        <w:t>у 2022. години</w:t>
      </w:r>
      <w:r w:rsidRPr="004831AB">
        <w:rPr>
          <w:lang w:val="sr-Cyrl-CS"/>
        </w:rPr>
        <w:t>. С обзиром на то да су цене енергената стабилизоване на нижим нивоима, уз стабилизацију производње електричне енергије и наставак раста извоза, у 2023. години очекује се смањење дефицита робне размене и текућег рачуна, што је тренд који се очекује и након тога.</w:t>
      </w:r>
      <w:r w:rsidRPr="004831AB">
        <w:rPr>
          <w:rStyle w:val="FootnoteReference"/>
          <w:lang w:val="sr-Cyrl-CS"/>
        </w:rPr>
        <w:footnoteReference w:customMarkFollows="1" w:id="27"/>
        <w:t>[6]</w:t>
      </w:r>
      <w:r w:rsidRPr="004831AB">
        <w:rPr>
          <w:lang w:val="sr-Cyrl-CS"/>
        </w:rPr>
        <w:t xml:space="preserve"> Попуштање трошковних притисака на глобалном нивоу у 2023, као и предузете мере монетарне политике НБС, довешће до смањења инфлације, која би средином 2024. године требало да се креће у оквиру граница циља 4±1,5%.</w:t>
      </w:r>
      <w:r w:rsidRPr="004831AB">
        <w:rPr>
          <w:rStyle w:val="FootnoteReference"/>
          <w:lang w:val="sr-Cyrl-CS"/>
        </w:rPr>
        <w:footnoteReference w:customMarkFollows="1" w:id="28"/>
        <w:t>[7]</w:t>
      </w:r>
    </w:p>
    <w:p w14:paraId="547ED206" w14:textId="77777777" w:rsidR="00FF6A58" w:rsidRPr="004831AB" w:rsidRDefault="00FF6A58" w:rsidP="00FF6A58">
      <w:pPr>
        <w:pStyle w:val="Heading2"/>
        <w:rPr>
          <w:rStyle w:val="normaltextrun"/>
          <w:b w:val="0"/>
          <w:lang w:val="sr-Cyrl-CS"/>
        </w:rPr>
      </w:pPr>
      <w:r w:rsidRPr="004831AB">
        <w:rPr>
          <w:rStyle w:val="normaltextrun"/>
          <w:b w:val="0"/>
          <w:lang w:val="sr-Cyrl-CS"/>
        </w:rPr>
        <w:t>Преглед и анализа стања сектора МСПП</w:t>
      </w:r>
      <w:r w:rsidRPr="004831AB">
        <w:rPr>
          <w:rStyle w:val="FootnoteReference"/>
          <w:b w:val="0"/>
          <w:lang w:val="sr-Cyrl-CS"/>
        </w:rPr>
        <w:footnoteReference w:id="29"/>
      </w:r>
    </w:p>
    <w:p w14:paraId="204C0E24" w14:textId="77777777" w:rsidR="00FF6A58" w:rsidRPr="004831AB" w:rsidRDefault="00FF6A58" w:rsidP="00FF6A58">
      <w:pPr>
        <w:pStyle w:val="paragraph"/>
        <w:spacing w:before="0" w:beforeAutospacing="0" w:after="120" w:afterAutospacing="0"/>
        <w:ind w:firstLine="357"/>
        <w:jc w:val="both"/>
        <w:textAlignment w:val="baseline"/>
        <w:rPr>
          <w:rStyle w:val="normaltextrun"/>
          <w:lang w:val="sr-Cyrl-CS"/>
        </w:rPr>
      </w:pPr>
      <w:r w:rsidRPr="004831AB">
        <w:rPr>
          <w:rStyle w:val="normaltextrun"/>
          <w:lang w:val="sr-Cyrl-CS"/>
        </w:rPr>
        <w:t>Преглед најважнијих показатеља пословања МСПП</w:t>
      </w:r>
    </w:p>
    <w:p w14:paraId="20C74C61" w14:textId="177F6FEF" w:rsidR="00FF6A58" w:rsidRPr="004831AB" w:rsidRDefault="00FF6A58" w:rsidP="002A07FB">
      <w:pPr>
        <w:pStyle w:val="paragraph"/>
        <w:spacing w:before="0" w:beforeAutospacing="0" w:after="120" w:afterAutospacing="0"/>
        <w:ind w:firstLine="720"/>
        <w:jc w:val="both"/>
        <w:textAlignment w:val="baseline"/>
        <w:rPr>
          <w:rStyle w:val="normaltextrun"/>
          <w:lang w:val="sr-Cyrl-CS"/>
        </w:rPr>
      </w:pPr>
      <w:r w:rsidRPr="004831AB">
        <w:rPr>
          <w:rStyle w:val="normaltextrun"/>
          <w:lang w:val="sr-Cyrl-CS"/>
        </w:rPr>
        <w:t>МСПП чине значај део привреде</w:t>
      </w:r>
      <w:r w:rsidR="00176BD8" w:rsidRPr="004831AB">
        <w:rPr>
          <w:rStyle w:val="normaltextrun"/>
          <w:lang w:val="sr-Cyrl-CS"/>
        </w:rPr>
        <w:t xml:space="preserve"> Републике</w:t>
      </w:r>
      <w:r w:rsidRPr="004831AB">
        <w:rPr>
          <w:rStyle w:val="normaltextrun"/>
          <w:lang w:val="sr-Cyrl-CS"/>
        </w:rPr>
        <w:t xml:space="preserve"> Србије. Према </w:t>
      </w:r>
      <w:r w:rsidR="00140550" w:rsidRPr="004831AB">
        <w:rPr>
          <w:rStyle w:val="normaltextrun"/>
          <w:lang w:val="sr-Cyrl-CS"/>
        </w:rPr>
        <w:t xml:space="preserve">последњим расположивим званичним </w:t>
      </w:r>
      <w:r w:rsidRPr="004831AB">
        <w:rPr>
          <w:rStyle w:val="normaltextrun"/>
          <w:lang w:val="sr-Cyrl-CS"/>
        </w:rPr>
        <w:t>подацима из 2021. године, овај сектор чини 99,9% свих привредних субјеката у Србији, ангажује 64,3% (скоро 2/3) запослених, остварује 66,2% промета, ствара 59% бруто додате вредности (БДВ) и учествује у извозу са 37,2%, а у увозу нефинансијског сектора са 53,4%.</w:t>
      </w:r>
    </w:p>
    <w:p w14:paraId="18C9DBCA" w14:textId="77777777" w:rsidR="00FF6A58" w:rsidRPr="004831AB" w:rsidRDefault="00FF6A58" w:rsidP="00FF6A58">
      <w:pPr>
        <w:spacing w:after="0" w:line="240" w:lineRule="auto"/>
        <w:jc w:val="center"/>
        <w:rPr>
          <w:rStyle w:val="normaltextrun"/>
          <w:rFonts w:ascii="Times New Roman" w:eastAsia="Times New Roman" w:hAnsi="Times New Roman" w:cs="Times New Roman"/>
          <w:sz w:val="20"/>
          <w:szCs w:val="20"/>
          <w:lang w:val="sr-Cyrl-CS"/>
        </w:rPr>
      </w:pPr>
      <w:r w:rsidRPr="004831AB">
        <w:rPr>
          <w:rFonts w:ascii="Times New Roman" w:eastAsia="Times New Roman" w:hAnsi="Times New Roman" w:cs="Times New Roman"/>
          <w:sz w:val="20"/>
          <w:szCs w:val="20"/>
          <w:lang w:val="sr-Cyrl-CS"/>
        </w:rPr>
        <w:t>Табела 1. Основни индикатори пословања нефинансијског сектора 2021. године – текуће цене*</w:t>
      </w:r>
    </w:p>
    <w:tbl>
      <w:tblPr>
        <w:tblW w:w="5650" w:type="pct"/>
        <w:jc w:val="center"/>
        <w:tblLook w:val="0000" w:firstRow="0" w:lastRow="0" w:firstColumn="0" w:lastColumn="0" w:noHBand="0" w:noVBand="0"/>
      </w:tblPr>
      <w:tblGrid>
        <w:gridCol w:w="1419"/>
        <w:gridCol w:w="791"/>
        <w:gridCol w:w="791"/>
        <w:gridCol w:w="792"/>
        <w:gridCol w:w="811"/>
        <w:gridCol w:w="1044"/>
        <w:gridCol w:w="813"/>
        <w:gridCol w:w="1044"/>
        <w:gridCol w:w="618"/>
        <w:gridCol w:w="531"/>
        <w:gridCol w:w="518"/>
        <w:gridCol w:w="613"/>
        <w:gridCol w:w="518"/>
        <w:gridCol w:w="570"/>
      </w:tblGrid>
      <w:tr w:rsidR="00FF6A58" w:rsidRPr="004831AB" w14:paraId="65042425" w14:textId="77777777" w:rsidTr="00D0635A">
        <w:trPr>
          <w:trHeight w:val="285"/>
          <w:jc w:val="center"/>
        </w:trPr>
        <w:tc>
          <w:tcPr>
            <w:tcW w:w="653"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30190DA"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Индикатор</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E1EC513"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Предузет-ници</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7B477D"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1F4E79" w:themeColor="accent1" w:themeShade="80"/>
                <w:sz w:val="18"/>
                <w:szCs w:val="16"/>
                <w:lang w:val="sr-Cyrl-CS"/>
              </w:rPr>
              <w:t>Микро</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725B3B"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Мала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722B196"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Средња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BE5F1"/>
            <w:tcMar>
              <w:left w:w="17" w:type="dxa"/>
              <w:right w:w="17" w:type="dxa"/>
            </w:tcMar>
            <w:vAlign w:val="center"/>
          </w:tcPr>
          <w:p w14:paraId="3903A873" w14:textId="77777777" w:rsidR="00FF6A58" w:rsidRPr="004831AB" w:rsidRDefault="00FF6A58" w:rsidP="00D0635A">
            <w:pPr>
              <w:spacing w:after="0" w:line="240" w:lineRule="auto"/>
              <w:jc w:val="center"/>
              <w:rPr>
                <w:rFonts w:ascii="Arial Narrow" w:eastAsia="Times New Roman" w:hAnsi="Arial Narrow" w:cs="Times New Roman"/>
                <w:bCs/>
                <w:color w:val="2F5496"/>
                <w:sz w:val="18"/>
                <w:szCs w:val="16"/>
                <w:lang w:val="sr-Cyrl-CS"/>
              </w:rPr>
            </w:pPr>
            <w:r w:rsidRPr="004831AB">
              <w:rPr>
                <w:rFonts w:ascii="Arial Narrow" w:eastAsia="Times New Roman" w:hAnsi="Arial Narrow" w:cs="Times New Roman"/>
                <w:bCs/>
                <w:color w:val="2F5496"/>
                <w:sz w:val="18"/>
                <w:szCs w:val="16"/>
                <w:lang w:val="sr-Cyrl-CS"/>
              </w:rPr>
              <w:t>МСПП</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C621F43"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Велика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BE5F1"/>
            <w:tcMar>
              <w:left w:w="17" w:type="dxa"/>
              <w:right w:w="17" w:type="dxa"/>
            </w:tcMar>
            <w:vAlign w:val="center"/>
          </w:tcPr>
          <w:p w14:paraId="3B56453A" w14:textId="77777777" w:rsidR="00FF6A58" w:rsidRPr="004831AB" w:rsidRDefault="00FF6A58" w:rsidP="00D0635A">
            <w:pPr>
              <w:spacing w:after="0" w:line="240" w:lineRule="auto"/>
              <w:jc w:val="center"/>
              <w:rPr>
                <w:rFonts w:ascii="Arial Narrow" w:eastAsia="Times New Roman" w:hAnsi="Arial Narrow" w:cs="Times New Roman"/>
                <w:bCs/>
                <w:color w:val="2F5496" w:themeColor="accent5" w:themeShade="BF"/>
                <w:sz w:val="18"/>
                <w:szCs w:val="16"/>
                <w:lang w:val="sr-Cyrl-CS"/>
              </w:rPr>
            </w:pPr>
            <w:r w:rsidRPr="004831AB">
              <w:rPr>
                <w:rFonts w:ascii="Arial Narrow" w:eastAsia="Times New Roman" w:hAnsi="Arial Narrow" w:cs="Times New Roman"/>
                <w:bCs/>
                <w:color w:val="2F5496" w:themeColor="accent5" w:themeShade="BF"/>
                <w:sz w:val="18"/>
                <w:szCs w:val="16"/>
                <w:lang w:val="sr-Cyrl-CS"/>
              </w:rPr>
              <w:t>Укупно</w:t>
            </w:r>
          </w:p>
        </w:tc>
        <w:tc>
          <w:tcPr>
            <w:tcW w:w="1547" w:type="pct"/>
            <w:gridSpan w:val="6"/>
            <w:tcBorders>
              <w:top w:val="single" w:sz="4" w:space="0" w:color="auto"/>
              <w:left w:val="nil"/>
              <w:bottom w:val="single" w:sz="4" w:space="0" w:color="auto"/>
              <w:right w:val="single" w:sz="4" w:space="0" w:color="auto"/>
            </w:tcBorders>
            <w:shd w:val="clear" w:color="auto" w:fill="DBE5F1"/>
            <w:tcMar>
              <w:left w:w="17" w:type="dxa"/>
              <w:right w:w="17" w:type="dxa"/>
            </w:tcMar>
            <w:vAlign w:val="center"/>
          </w:tcPr>
          <w:p w14:paraId="77AA8D85"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r w:rsidRPr="004831AB">
              <w:rPr>
                <w:rFonts w:ascii="Corbel" w:eastAsia="Times New Roman" w:hAnsi="Corbel" w:cs="Times New Roman"/>
                <w:bCs/>
                <w:color w:val="2F5496" w:themeColor="accent5" w:themeShade="BF"/>
                <w:sz w:val="18"/>
                <w:szCs w:val="16"/>
                <w:lang w:val="sr-Cyrl-CS"/>
              </w:rPr>
              <w:t>Учешће у нефинансијском се</w:t>
            </w:r>
            <w:r w:rsidRPr="004831AB">
              <w:rPr>
                <w:rFonts w:ascii="Corbel" w:eastAsia="Times New Roman" w:hAnsi="Corbel" w:cs="Times New Roman"/>
                <w:bCs/>
                <w:color w:val="2F5496" w:themeColor="accent5" w:themeShade="BF"/>
                <w:sz w:val="18"/>
                <w:szCs w:val="18"/>
                <w:lang w:val="sr-Cyrl-CS"/>
              </w:rPr>
              <w:t>ктору</w:t>
            </w:r>
          </w:p>
        </w:tc>
      </w:tr>
      <w:tr w:rsidR="00FF6A58" w:rsidRPr="004831AB" w14:paraId="3EB16DA9" w14:textId="77777777" w:rsidTr="00D0635A">
        <w:trPr>
          <w:trHeight w:val="285"/>
          <w:jc w:val="center"/>
        </w:trPr>
        <w:tc>
          <w:tcPr>
            <w:tcW w:w="653"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EB90F5" w14:textId="77777777" w:rsidR="00FF6A58" w:rsidRPr="004831AB" w:rsidRDefault="00FF6A58" w:rsidP="00D0635A">
            <w:pPr>
              <w:spacing w:after="0" w:line="240" w:lineRule="auto"/>
              <w:rPr>
                <w:rFonts w:ascii="Corbel" w:eastAsia="Times New Roman" w:hAnsi="Corbel" w:cs="Times New Roman"/>
                <w:bCs/>
                <w:color w:val="2F5496" w:themeColor="accent5" w:themeShade="BF"/>
                <w:sz w:val="16"/>
                <w:szCs w:val="16"/>
                <w:lang w:val="sr-Cyrl-CS"/>
              </w:rPr>
            </w:pPr>
          </w:p>
        </w:tc>
        <w:tc>
          <w:tcPr>
            <w:tcW w:w="364"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24E7F5"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364"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E3A402"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364"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1799D2"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074F6DD"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480" w:type="pct"/>
            <w:vMerge/>
            <w:tcBorders>
              <w:top w:val="single" w:sz="4" w:space="0" w:color="auto"/>
              <w:left w:val="single" w:sz="4" w:space="0" w:color="auto"/>
              <w:bottom w:val="single" w:sz="4" w:space="0" w:color="auto"/>
              <w:right w:val="single" w:sz="4" w:space="0" w:color="auto"/>
            </w:tcBorders>
            <w:shd w:val="clear" w:color="auto" w:fill="DBE5F1"/>
            <w:tcMar>
              <w:left w:w="17" w:type="dxa"/>
              <w:right w:w="17" w:type="dxa"/>
            </w:tcMar>
            <w:vAlign w:val="center"/>
          </w:tcPr>
          <w:p w14:paraId="622F5380" w14:textId="77777777" w:rsidR="00FF6A58" w:rsidRPr="004831AB" w:rsidRDefault="00FF6A58" w:rsidP="00D0635A">
            <w:pPr>
              <w:spacing w:after="0" w:line="240" w:lineRule="auto"/>
              <w:jc w:val="center"/>
              <w:rPr>
                <w:rFonts w:ascii="Corbel" w:eastAsia="Times New Roman" w:hAnsi="Corbel" w:cs="Times New Roman"/>
                <w:bCs/>
                <w:color w:val="2F5496"/>
                <w:sz w:val="16"/>
                <w:szCs w:val="16"/>
                <w:lang w:val="sr-Cyrl-CS"/>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A33FD3"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480" w:type="pct"/>
            <w:vMerge/>
            <w:tcBorders>
              <w:top w:val="single" w:sz="4" w:space="0" w:color="auto"/>
              <w:left w:val="single" w:sz="4" w:space="0" w:color="auto"/>
              <w:bottom w:val="single" w:sz="4" w:space="0" w:color="auto"/>
              <w:right w:val="single" w:sz="4" w:space="0" w:color="auto"/>
            </w:tcBorders>
            <w:shd w:val="clear" w:color="auto" w:fill="DBE5F1"/>
            <w:tcMar>
              <w:left w:w="17" w:type="dxa"/>
              <w:right w:w="17" w:type="dxa"/>
            </w:tcMar>
            <w:vAlign w:val="center"/>
          </w:tcPr>
          <w:p w14:paraId="2DD451D4"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p>
        </w:tc>
        <w:tc>
          <w:tcPr>
            <w:tcW w:w="284" w:type="pct"/>
            <w:tcBorders>
              <w:top w:val="nil"/>
              <w:left w:val="nil"/>
              <w:bottom w:val="single" w:sz="4" w:space="0" w:color="auto"/>
              <w:right w:val="single" w:sz="4" w:space="0" w:color="auto"/>
            </w:tcBorders>
            <w:shd w:val="clear" w:color="auto" w:fill="DBE5F1"/>
            <w:tcMar>
              <w:left w:w="17" w:type="dxa"/>
              <w:right w:w="17" w:type="dxa"/>
            </w:tcMar>
            <w:vAlign w:val="center"/>
          </w:tcPr>
          <w:p w14:paraId="4553F321"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r w:rsidRPr="004831AB">
              <w:rPr>
                <w:rFonts w:ascii="Corbel" w:eastAsia="Times New Roman" w:hAnsi="Corbel" w:cs="Times New Roman"/>
                <w:bCs/>
                <w:color w:val="2F5496" w:themeColor="accent5" w:themeShade="BF"/>
                <w:sz w:val="16"/>
                <w:szCs w:val="16"/>
                <w:lang w:val="sr-Cyrl-CS"/>
              </w:rPr>
              <w:t>Пред.</w:t>
            </w:r>
          </w:p>
        </w:tc>
        <w:tc>
          <w:tcPr>
            <w:tcW w:w="244" w:type="pct"/>
            <w:tcBorders>
              <w:top w:val="nil"/>
              <w:left w:val="nil"/>
              <w:bottom w:val="single" w:sz="4" w:space="0" w:color="auto"/>
              <w:right w:val="single" w:sz="4" w:space="0" w:color="auto"/>
            </w:tcBorders>
            <w:shd w:val="clear" w:color="auto" w:fill="DBE5F1"/>
            <w:tcMar>
              <w:left w:w="17" w:type="dxa"/>
              <w:right w:w="17" w:type="dxa"/>
            </w:tcMar>
            <w:vAlign w:val="center"/>
          </w:tcPr>
          <w:p w14:paraId="40A30CE9" w14:textId="77777777" w:rsidR="00FF6A58" w:rsidRPr="004831AB" w:rsidRDefault="00FF6A58" w:rsidP="00D0635A">
            <w:pPr>
              <w:spacing w:after="0" w:line="240" w:lineRule="auto"/>
              <w:jc w:val="center"/>
              <w:rPr>
                <w:rFonts w:ascii="Corbel" w:eastAsia="Times New Roman" w:hAnsi="Corbel" w:cs="Times New Roman"/>
                <w:bCs/>
                <w:color w:val="1F4E79" w:themeColor="accent1" w:themeShade="80"/>
                <w:sz w:val="16"/>
                <w:szCs w:val="16"/>
                <w:lang w:val="sr-Cyrl-CS"/>
              </w:rPr>
            </w:pPr>
            <w:r w:rsidRPr="004831AB">
              <w:rPr>
                <w:rFonts w:ascii="Corbel" w:eastAsia="Times New Roman" w:hAnsi="Corbel" w:cs="Times New Roman"/>
                <w:bCs/>
                <w:color w:val="1F4E79" w:themeColor="accent1" w:themeShade="80"/>
                <w:sz w:val="16"/>
                <w:szCs w:val="16"/>
                <w:lang w:val="sr-Cyrl-CS"/>
              </w:rPr>
              <w:t>Микро</w:t>
            </w:r>
          </w:p>
        </w:tc>
        <w:tc>
          <w:tcPr>
            <w:tcW w:w="238" w:type="pct"/>
            <w:tcBorders>
              <w:top w:val="nil"/>
              <w:left w:val="nil"/>
              <w:bottom w:val="single" w:sz="4" w:space="0" w:color="auto"/>
              <w:right w:val="single" w:sz="4" w:space="0" w:color="auto"/>
            </w:tcBorders>
            <w:shd w:val="clear" w:color="auto" w:fill="DBE5F1"/>
            <w:tcMar>
              <w:left w:w="17" w:type="dxa"/>
              <w:right w:w="17" w:type="dxa"/>
            </w:tcMar>
            <w:vAlign w:val="center"/>
          </w:tcPr>
          <w:p w14:paraId="4A330AE7" w14:textId="77777777" w:rsidR="00FF6A58" w:rsidRPr="004831AB" w:rsidRDefault="00FF6A58" w:rsidP="00D0635A">
            <w:pPr>
              <w:spacing w:after="0" w:line="240" w:lineRule="auto"/>
              <w:jc w:val="center"/>
              <w:rPr>
                <w:rFonts w:ascii="Corbel" w:eastAsia="Times New Roman" w:hAnsi="Corbel" w:cs="Times New Roman"/>
                <w:bCs/>
                <w:color w:val="1F4E79" w:themeColor="accent1" w:themeShade="80"/>
                <w:sz w:val="16"/>
                <w:szCs w:val="16"/>
                <w:lang w:val="sr-Cyrl-CS"/>
              </w:rPr>
            </w:pPr>
            <w:r w:rsidRPr="004831AB">
              <w:rPr>
                <w:rFonts w:ascii="Corbel" w:eastAsia="Times New Roman" w:hAnsi="Corbel" w:cs="Times New Roman"/>
                <w:bCs/>
                <w:color w:val="1F4E79" w:themeColor="accent1" w:themeShade="80"/>
                <w:sz w:val="16"/>
                <w:szCs w:val="16"/>
                <w:lang w:val="sr-Cyrl-CS"/>
              </w:rPr>
              <w:t>Мала</w:t>
            </w:r>
          </w:p>
        </w:tc>
        <w:tc>
          <w:tcPr>
            <w:tcW w:w="282" w:type="pct"/>
            <w:tcBorders>
              <w:top w:val="nil"/>
              <w:left w:val="nil"/>
              <w:bottom w:val="single" w:sz="4" w:space="0" w:color="auto"/>
              <w:right w:val="single" w:sz="4" w:space="0" w:color="auto"/>
            </w:tcBorders>
            <w:shd w:val="clear" w:color="auto" w:fill="DBE5F1"/>
            <w:tcMar>
              <w:left w:w="17" w:type="dxa"/>
              <w:right w:w="17" w:type="dxa"/>
            </w:tcMar>
            <w:vAlign w:val="center"/>
          </w:tcPr>
          <w:p w14:paraId="23362BF7"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r w:rsidRPr="004831AB">
              <w:rPr>
                <w:rFonts w:ascii="Corbel" w:eastAsia="Times New Roman" w:hAnsi="Corbel" w:cs="Times New Roman"/>
                <w:bCs/>
                <w:color w:val="2F5496" w:themeColor="accent5" w:themeShade="BF"/>
                <w:sz w:val="16"/>
                <w:szCs w:val="16"/>
                <w:lang w:val="sr-Cyrl-CS"/>
              </w:rPr>
              <w:t>Средња</w:t>
            </w:r>
          </w:p>
        </w:tc>
        <w:tc>
          <w:tcPr>
            <w:tcW w:w="238" w:type="pct"/>
            <w:tcBorders>
              <w:top w:val="nil"/>
              <w:left w:val="nil"/>
              <w:bottom w:val="single" w:sz="4" w:space="0" w:color="auto"/>
              <w:right w:val="single" w:sz="4" w:space="0" w:color="auto"/>
            </w:tcBorders>
            <w:shd w:val="clear" w:color="auto" w:fill="DBE5F1"/>
            <w:tcMar>
              <w:left w:w="17" w:type="dxa"/>
              <w:right w:w="17" w:type="dxa"/>
            </w:tcMar>
            <w:vAlign w:val="center"/>
          </w:tcPr>
          <w:p w14:paraId="704179B8"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r w:rsidRPr="004831AB">
              <w:rPr>
                <w:rFonts w:ascii="Corbel" w:eastAsia="Times New Roman" w:hAnsi="Corbel" w:cs="Times New Roman"/>
                <w:bCs/>
                <w:color w:val="2F5496" w:themeColor="accent5" w:themeShade="BF"/>
                <w:sz w:val="16"/>
                <w:szCs w:val="16"/>
                <w:lang w:val="sr-Cyrl-CS"/>
              </w:rPr>
              <w:t>МСПП</w:t>
            </w:r>
          </w:p>
        </w:tc>
        <w:tc>
          <w:tcPr>
            <w:tcW w:w="262" w:type="pct"/>
            <w:tcBorders>
              <w:top w:val="nil"/>
              <w:left w:val="nil"/>
              <w:bottom w:val="single" w:sz="4" w:space="0" w:color="auto"/>
              <w:right w:val="single" w:sz="4" w:space="0" w:color="auto"/>
            </w:tcBorders>
            <w:shd w:val="clear" w:color="auto" w:fill="DBE5F1"/>
            <w:tcMar>
              <w:left w:w="17" w:type="dxa"/>
              <w:right w:w="17" w:type="dxa"/>
            </w:tcMar>
            <w:vAlign w:val="center"/>
          </w:tcPr>
          <w:p w14:paraId="1AE783A1" w14:textId="77777777" w:rsidR="00FF6A58" w:rsidRPr="004831AB" w:rsidRDefault="00FF6A58" w:rsidP="00D0635A">
            <w:pPr>
              <w:spacing w:after="0" w:line="240" w:lineRule="auto"/>
              <w:jc w:val="center"/>
              <w:rPr>
                <w:rFonts w:ascii="Corbel" w:eastAsia="Times New Roman" w:hAnsi="Corbel" w:cs="Times New Roman"/>
                <w:bCs/>
                <w:color w:val="2F5496" w:themeColor="accent5" w:themeShade="BF"/>
                <w:sz w:val="16"/>
                <w:szCs w:val="16"/>
                <w:lang w:val="sr-Cyrl-CS"/>
              </w:rPr>
            </w:pPr>
            <w:r w:rsidRPr="004831AB">
              <w:rPr>
                <w:rFonts w:ascii="Corbel" w:eastAsia="Times New Roman" w:hAnsi="Corbel" w:cs="Times New Roman"/>
                <w:bCs/>
                <w:color w:val="2F5496" w:themeColor="accent5" w:themeShade="BF"/>
                <w:sz w:val="16"/>
                <w:szCs w:val="16"/>
                <w:lang w:val="sr-Cyrl-CS"/>
              </w:rPr>
              <w:t>Велика</w:t>
            </w:r>
          </w:p>
        </w:tc>
      </w:tr>
      <w:tr w:rsidR="00FF6A58" w:rsidRPr="004831AB" w14:paraId="2E49C7DF" w14:textId="77777777" w:rsidTr="00D0635A">
        <w:trPr>
          <w:trHeight w:val="285"/>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BE5F1"/>
            <w:tcMar>
              <w:left w:w="17" w:type="dxa"/>
              <w:right w:w="17" w:type="dxa"/>
            </w:tcMar>
            <w:vAlign w:val="center"/>
          </w:tcPr>
          <w:p w14:paraId="37C8D2BF" w14:textId="77777777" w:rsidR="00FF6A58" w:rsidRPr="004831AB" w:rsidRDefault="00FF6A58" w:rsidP="00D0635A">
            <w:pPr>
              <w:spacing w:after="0" w:line="240" w:lineRule="auto"/>
              <w:ind w:left="175"/>
              <w:jc w:val="center"/>
              <w:rPr>
                <w:rFonts w:ascii="Segoe Script" w:eastAsia="Times New Roman" w:hAnsi="Segoe Script" w:cs="Times New Roman"/>
                <w:color w:val="365F91"/>
                <w:sz w:val="18"/>
                <w:szCs w:val="16"/>
                <w:lang w:val="sr-Cyrl-CS"/>
              </w:rPr>
            </w:pPr>
            <w:r w:rsidRPr="004831AB">
              <w:rPr>
                <w:rFonts w:ascii="Segoe Script" w:eastAsia="Times New Roman" w:hAnsi="Segoe Script" w:cs="Times New Roman"/>
                <w:color w:val="365F91"/>
                <w:szCs w:val="16"/>
                <w:lang w:val="sr-Cyrl-CS"/>
              </w:rPr>
              <w:t>2021.</w:t>
            </w:r>
          </w:p>
        </w:tc>
      </w:tr>
      <w:tr w:rsidR="00FF6A58" w:rsidRPr="004831AB" w14:paraId="7FA1537D"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F8591B9"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Број предузећа</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2344CA3"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303.300</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B6CC84E"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87.657</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4D2FEE"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12.241</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7347DE6"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2.734</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13CEC27D"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405.932</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E07F865"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601</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D1235F"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406.533</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469D8B"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74,6</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6D9E1"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21,6</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1544B"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3,0</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ACF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0,7</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56286DC1"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99,9</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076B03"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0,1</w:t>
            </w:r>
          </w:p>
        </w:tc>
      </w:tr>
      <w:tr w:rsidR="00FF6A58" w:rsidRPr="004831AB" w14:paraId="377D4728"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B0CD6D9"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Број запослених</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69B2729"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280.387</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93A3220"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163.078</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8A1D47B"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247.119</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61713C"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281.603</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7C42030E"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972.187</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B7C1E75"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540.670</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3A93769"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1.512.857</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F86DD"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18,5</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A5D6A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10,8</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99791"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16,3</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88506"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18,6</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0A03E7A9"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64,3</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DB05E0"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35,7</w:t>
            </w:r>
          </w:p>
        </w:tc>
      </w:tr>
      <w:tr w:rsidR="00FF6A58" w:rsidRPr="004831AB" w14:paraId="2874BBAF"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C1F88C5"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lastRenderedPageBreak/>
              <w:t>Промет</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0CED318"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1.953.472</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9851E47"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1.959.769</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E76C79"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2.958.958</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3394043"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3.259.906</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2663302B"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10.132.105</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63BB5B1"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5.165.970</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BB6197E"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15.298.075</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FD00F2"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12,8</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19F54A"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12,8</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40C9F"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19,3</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50999"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21,3</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770E2A9D"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66,2</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5C8C9"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33,8</w:t>
            </w:r>
          </w:p>
        </w:tc>
      </w:tr>
      <w:tr w:rsidR="00FF6A58" w:rsidRPr="004831AB" w14:paraId="2846EE64"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150FB5F"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БДВ</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AC83A56"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530.258</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E72D261"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323.119</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FDA49D"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581.814</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EA0D88C"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736.861</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2BA077EF"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2.172.052</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625D614"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1.509.122</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929755"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3.681.174</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45817"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14,4</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45DB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8,8</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D37BD"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15,8</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900EDA"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20,0</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189675B9"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59,0</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2EFA58"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41,0</w:t>
            </w:r>
          </w:p>
        </w:tc>
      </w:tr>
      <w:tr w:rsidR="00FF6A58" w:rsidRPr="004831AB" w14:paraId="156D99CD"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43445CC"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Извоз</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4668A4A"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23.969</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D3F0EF"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168.366</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9CEAF35"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269.348</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9244870"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449.059</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0FFBD5C5"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910.741</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B449B51"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1.536.056</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2074779"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2.446.797</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DA6A8"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1,0</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FF2944"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6,9</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ECBF3"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11,0</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31699"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18,4</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3AC6C605"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37,2</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A790D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62,8</w:t>
            </w:r>
          </w:p>
        </w:tc>
      </w:tr>
      <w:tr w:rsidR="00FF6A58" w:rsidRPr="004831AB" w14:paraId="6450D9DA"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B1F869"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Број извозника</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938AB1"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3.520</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D3C8B22"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6.506</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6B2613B"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3.883</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448F204"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1.375</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5D797EA2"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15.284</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8FBFE5F"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398</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5A3D1C"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15.682</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7104C"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22,4</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90522"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41,5</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6B4C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24,8</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83194E"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8,8</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1B6E9057"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97,5</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A42C9F"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2,5</w:t>
            </w:r>
          </w:p>
        </w:tc>
      </w:tr>
      <w:tr w:rsidR="00FF6A58" w:rsidRPr="004831AB" w14:paraId="7EA26297" w14:textId="77777777" w:rsidTr="00D0635A">
        <w:trPr>
          <w:trHeight w:val="285"/>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CC27769"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Увоз</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B6BAA40"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29.249</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6F0815"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317.370</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A95D543"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594.338</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12337B2"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750.736</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3F1C5EA9"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1.691.693</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E685FAC"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1.479.030</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52B2C77"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3.170.724</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5A90C"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0,9</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306B5"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10,0</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4FCF5"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18,7</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492D79"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23,7</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2A627F82"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53,4</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C25E25"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46,6</w:t>
            </w:r>
          </w:p>
        </w:tc>
      </w:tr>
      <w:tr w:rsidR="00FF6A58" w:rsidRPr="004831AB" w14:paraId="67DEE00D" w14:textId="77777777" w:rsidTr="00D0635A">
        <w:trPr>
          <w:trHeight w:val="348"/>
          <w:jc w:val="center"/>
        </w:trPr>
        <w:tc>
          <w:tcPr>
            <w:tcW w:w="653" w:type="pc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6AD410E" w14:textId="77777777" w:rsidR="00FF6A58" w:rsidRPr="004831AB" w:rsidRDefault="00FF6A58" w:rsidP="00D0635A">
            <w:pPr>
              <w:spacing w:after="0" w:line="240" w:lineRule="auto"/>
              <w:ind w:left="57"/>
              <w:rPr>
                <w:rFonts w:ascii="Arial Narrow" w:eastAsia="Times New Roman" w:hAnsi="Arial Narrow" w:cs="Times New Roman"/>
                <w:color w:val="2F5496" w:themeColor="accent5" w:themeShade="BF"/>
                <w:sz w:val="18"/>
                <w:szCs w:val="16"/>
                <w:lang w:val="sr-Cyrl-CS"/>
              </w:rPr>
            </w:pPr>
            <w:r w:rsidRPr="004831AB">
              <w:rPr>
                <w:rFonts w:ascii="Arial Narrow" w:eastAsia="Times New Roman" w:hAnsi="Arial Narrow" w:cs="Times New Roman"/>
                <w:color w:val="2F5496" w:themeColor="accent5" w:themeShade="BF"/>
                <w:sz w:val="18"/>
                <w:szCs w:val="16"/>
                <w:lang w:val="sr-Cyrl-CS"/>
              </w:rPr>
              <w:t>Број увозника</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FA575DA"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4.469</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A6F5C6"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12.074</w:t>
            </w:r>
          </w:p>
        </w:tc>
        <w:tc>
          <w:tcPr>
            <w:tcW w:w="36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52F9502"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5.556</w:t>
            </w:r>
          </w:p>
        </w:tc>
        <w:tc>
          <w:tcPr>
            <w:tcW w:w="37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742CBD"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1.858</w:t>
            </w:r>
          </w:p>
        </w:tc>
        <w:tc>
          <w:tcPr>
            <w:tcW w:w="480" w:type="pct"/>
            <w:tcBorders>
              <w:top w:val="single" w:sz="4" w:space="0" w:color="auto"/>
              <w:left w:val="nil"/>
              <w:bottom w:val="single" w:sz="4" w:space="0" w:color="auto"/>
              <w:right w:val="single" w:sz="4" w:space="0" w:color="auto"/>
            </w:tcBorders>
            <w:shd w:val="clear" w:color="auto" w:fill="DEEAF6" w:themeFill="accent1" w:themeFillTint="33"/>
            <w:noWrap/>
            <w:tcMar>
              <w:left w:w="28" w:type="dxa"/>
              <w:right w:w="28" w:type="dxa"/>
            </w:tcMar>
            <w:vAlign w:val="center"/>
          </w:tcPr>
          <w:p w14:paraId="4CE545A5" w14:textId="77777777" w:rsidR="00FF6A58" w:rsidRPr="004831AB" w:rsidRDefault="00FF6A58" w:rsidP="00D0635A">
            <w:pPr>
              <w:spacing w:after="0" w:line="240" w:lineRule="auto"/>
              <w:ind w:right="57"/>
              <w:jc w:val="right"/>
              <w:rPr>
                <w:rFonts w:ascii="Arial" w:hAnsi="Arial" w:cs="Arial"/>
                <w:bCs/>
                <w:color w:val="2F5496"/>
                <w:sz w:val="18"/>
                <w:szCs w:val="18"/>
                <w:lang w:val="sr-Cyrl-CS"/>
              </w:rPr>
            </w:pPr>
            <w:r w:rsidRPr="004831AB">
              <w:rPr>
                <w:rFonts w:ascii="Arial" w:hAnsi="Arial" w:cs="Arial"/>
                <w:bCs/>
                <w:color w:val="2F5496"/>
                <w:sz w:val="18"/>
                <w:szCs w:val="18"/>
                <w:lang w:val="sr-Cyrl-CS"/>
              </w:rPr>
              <w:t>23.957</w:t>
            </w:r>
          </w:p>
        </w:tc>
        <w:tc>
          <w:tcPr>
            <w:tcW w:w="37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ADB5DE" w14:textId="77777777" w:rsidR="00FF6A58" w:rsidRPr="004831AB" w:rsidRDefault="00FF6A58" w:rsidP="00D0635A">
            <w:pPr>
              <w:spacing w:after="0" w:line="240" w:lineRule="auto"/>
              <w:ind w:right="57"/>
              <w:jc w:val="right"/>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479</w:t>
            </w:r>
          </w:p>
        </w:tc>
        <w:tc>
          <w:tcPr>
            <w:tcW w:w="48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D26C0D8" w14:textId="77777777" w:rsidR="00FF6A58" w:rsidRPr="004831AB" w:rsidRDefault="00FF6A58" w:rsidP="00D0635A">
            <w:pPr>
              <w:spacing w:after="0" w:line="240" w:lineRule="auto"/>
              <w:ind w:right="57"/>
              <w:jc w:val="right"/>
              <w:rPr>
                <w:rFonts w:ascii="Arial" w:hAnsi="Arial" w:cs="Arial"/>
                <w:bCs/>
                <w:i/>
                <w:iCs/>
                <w:color w:val="2F5496"/>
                <w:sz w:val="18"/>
                <w:szCs w:val="18"/>
                <w:lang w:val="sr-Cyrl-CS"/>
              </w:rPr>
            </w:pPr>
            <w:r w:rsidRPr="004831AB">
              <w:rPr>
                <w:rFonts w:ascii="Arial" w:hAnsi="Arial" w:cs="Arial"/>
                <w:bCs/>
                <w:i/>
                <w:iCs/>
                <w:color w:val="2F5496"/>
                <w:sz w:val="18"/>
                <w:szCs w:val="18"/>
                <w:lang w:val="sr-Cyrl-CS"/>
              </w:rPr>
              <w:t>24.436</w:t>
            </w:r>
          </w:p>
        </w:tc>
        <w:tc>
          <w:tcPr>
            <w:tcW w:w="28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0E4FA"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18,3</w:t>
            </w: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1D21BC"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49,4</w:t>
            </w:r>
          </w:p>
        </w:tc>
        <w:tc>
          <w:tcPr>
            <w:tcW w:w="2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41E1C"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22,7</w:t>
            </w:r>
          </w:p>
        </w:tc>
        <w:tc>
          <w:tcPr>
            <w:tcW w:w="28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F8E7"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7,6</w:t>
            </w:r>
          </w:p>
        </w:tc>
        <w:tc>
          <w:tcPr>
            <w:tcW w:w="238" w:type="pct"/>
            <w:tcBorders>
              <w:top w:val="single" w:sz="4" w:space="0" w:color="auto"/>
              <w:left w:val="nil"/>
              <w:bottom w:val="single" w:sz="4" w:space="0" w:color="auto"/>
              <w:right w:val="single" w:sz="4" w:space="0" w:color="auto"/>
            </w:tcBorders>
            <w:shd w:val="clear" w:color="auto" w:fill="DEEAF6" w:themeFill="accent1" w:themeFillTint="33"/>
            <w:tcMar>
              <w:left w:w="28" w:type="dxa"/>
              <w:right w:w="28" w:type="dxa"/>
            </w:tcMar>
            <w:vAlign w:val="center"/>
          </w:tcPr>
          <w:p w14:paraId="2F10A2DD" w14:textId="77777777" w:rsidR="00FF6A58" w:rsidRPr="004831AB" w:rsidRDefault="00FF6A58" w:rsidP="00D0635A">
            <w:pPr>
              <w:spacing w:after="0" w:line="240" w:lineRule="auto"/>
              <w:jc w:val="center"/>
              <w:rPr>
                <w:rFonts w:ascii="Arial Narrow" w:hAnsi="Arial Narrow" w:cs="Arial"/>
                <w:bCs/>
                <w:color w:val="2F5496"/>
                <w:sz w:val="18"/>
                <w:szCs w:val="18"/>
                <w:lang w:val="sr-Cyrl-CS"/>
              </w:rPr>
            </w:pPr>
            <w:r w:rsidRPr="004831AB">
              <w:rPr>
                <w:rFonts w:ascii="Arial Narrow" w:hAnsi="Arial Narrow" w:cs="Arial"/>
                <w:bCs/>
                <w:color w:val="2F5496"/>
                <w:sz w:val="18"/>
                <w:szCs w:val="18"/>
                <w:lang w:val="sr-Cyrl-CS"/>
              </w:rPr>
              <w:t>98,0</w:t>
            </w:r>
          </w:p>
        </w:tc>
        <w:tc>
          <w:tcPr>
            <w:tcW w:w="26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44D652" w14:textId="77777777" w:rsidR="00FF6A58" w:rsidRPr="004831AB" w:rsidRDefault="00FF6A58" w:rsidP="00D0635A">
            <w:pPr>
              <w:spacing w:after="0" w:line="240" w:lineRule="auto"/>
              <w:jc w:val="center"/>
              <w:rPr>
                <w:rFonts w:ascii="Arial Narrow" w:hAnsi="Arial Narrow" w:cs="Arial"/>
                <w:color w:val="2F5496"/>
                <w:sz w:val="18"/>
                <w:szCs w:val="18"/>
                <w:lang w:val="sr-Cyrl-CS"/>
              </w:rPr>
            </w:pPr>
            <w:r w:rsidRPr="004831AB">
              <w:rPr>
                <w:rFonts w:ascii="Arial Narrow" w:hAnsi="Arial Narrow" w:cs="Arial"/>
                <w:color w:val="2F5496"/>
                <w:sz w:val="18"/>
                <w:szCs w:val="18"/>
                <w:lang w:val="sr-Cyrl-CS"/>
              </w:rPr>
              <w:t>2,0</w:t>
            </w:r>
          </w:p>
        </w:tc>
      </w:tr>
    </w:tbl>
    <w:p w14:paraId="6C4651E0" w14:textId="0DA5662D" w:rsidR="00FF6A58" w:rsidRPr="004831AB" w:rsidRDefault="00FF6A58" w:rsidP="00FF6A58">
      <w:pPr>
        <w:snapToGrid w:val="0"/>
        <w:spacing w:after="120" w:line="240" w:lineRule="auto"/>
        <w:jc w:val="center"/>
        <w:rPr>
          <w:rStyle w:val="normaltextrun"/>
          <w:rFonts w:ascii="Times New Roman" w:eastAsia="Times New Roman" w:hAnsi="Times New Roman" w:cs="Times New Roman"/>
          <w:sz w:val="18"/>
          <w:szCs w:val="18"/>
          <w:lang w:val="sr-Cyrl-CS"/>
        </w:rPr>
      </w:pPr>
      <w:r w:rsidRPr="004831AB">
        <w:rPr>
          <w:rFonts w:ascii="Times New Roman" w:eastAsia="Times New Roman" w:hAnsi="Times New Roman" w:cs="Times New Roman"/>
          <w:sz w:val="18"/>
          <w:szCs w:val="18"/>
          <w:lang w:val="sr-Cyrl-CS"/>
        </w:rPr>
        <w:t xml:space="preserve">Извор: Министарство привреде на основу података </w:t>
      </w:r>
      <w:r w:rsidR="00CA26F3" w:rsidRPr="004831AB">
        <w:rPr>
          <w:rFonts w:ascii="Times New Roman" w:eastAsia="Times New Roman" w:hAnsi="Times New Roman" w:cs="Times New Roman"/>
          <w:sz w:val="18"/>
          <w:szCs w:val="18"/>
          <w:lang w:val="sr-Cyrl-CS"/>
        </w:rPr>
        <w:t>Републичког завода за статистику (</w:t>
      </w:r>
      <w:r w:rsidRPr="004831AB">
        <w:rPr>
          <w:rFonts w:ascii="Times New Roman" w:eastAsia="Times New Roman" w:hAnsi="Times New Roman" w:cs="Times New Roman"/>
          <w:sz w:val="18"/>
          <w:szCs w:val="18"/>
          <w:lang w:val="sr-Cyrl-CS"/>
        </w:rPr>
        <w:t>РЗС</w:t>
      </w:r>
      <w:r w:rsidR="00CA26F3" w:rsidRPr="004831AB">
        <w:rPr>
          <w:rFonts w:ascii="Times New Roman" w:eastAsia="Times New Roman" w:hAnsi="Times New Roman" w:cs="Times New Roman"/>
          <w:sz w:val="18"/>
          <w:szCs w:val="18"/>
          <w:lang w:val="sr-Cyrl-CS"/>
        </w:rPr>
        <w:t>)</w:t>
      </w:r>
      <w:r w:rsidRPr="004831AB">
        <w:rPr>
          <w:rFonts w:ascii="Times New Roman" w:eastAsia="Times New Roman" w:hAnsi="Times New Roman" w:cs="Times New Roman"/>
          <w:sz w:val="18"/>
          <w:szCs w:val="18"/>
          <w:lang w:val="sr-Cyrl-CS"/>
        </w:rPr>
        <w:t>; * Напомена: БДВ, промет, извоз и увоз су у мил. динара.</w:t>
      </w:r>
    </w:p>
    <w:p w14:paraId="60BFE194" w14:textId="77777777" w:rsidR="00FF6A58" w:rsidRPr="004831AB" w:rsidRDefault="00FF6A58" w:rsidP="002A07FB">
      <w:pPr>
        <w:spacing w:after="120" w:line="240" w:lineRule="auto"/>
        <w:ind w:firstLine="720"/>
        <w:jc w:val="both"/>
        <w:rPr>
          <w:rStyle w:val="normaltextrun"/>
          <w:rFonts w:ascii="Times New Roman" w:eastAsia="Times New Roman" w:hAnsi="Times New Roman" w:cs="Times New Roman"/>
          <w:sz w:val="24"/>
          <w:szCs w:val="24"/>
          <w:lang w:val="sr-Cyrl-CS" w:eastAsia="en-GB"/>
        </w:rPr>
      </w:pPr>
      <w:r w:rsidRPr="004831AB">
        <w:rPr>
          <w:rStyle w:val="normaltextrun"/>
          <w:rFonts w:ascii="Times New Roman" w:eastAsia="Times New Roman" w:hAnsi="Times New Roman" w:cs="Times New Roman"/>
          <w:sz w:val="24"/>
          <w:szCs w:val="24"/>
          <w:lang w:val="sr-Cyrl-CS" w:eastAsia="en-GB"/>
        </w:rPr>
        <w:t>У периоду 2015-2019</w:t>
      </w:r>
      <w:r w:rsidR="006A1862" w:rsidRPr="004831AB">
        <w:rPr>
          <w:rStyle w:val="normaltextrun"/>
          <w:rFonts w:ascii="Times New Roman" w:eastAsia="Times New Roman" w:hAnsi="Times New Roman" w:cs="Times New Roman"/>
          <w:sz w:val="24"/>
          <w:szCs w:val="24"/>
          <w:lang w:val="sr-Cyrl-CS" w:eastAsia="en-GB"/>
        </w:rPr>
        <w:t>.</w:t>
      </w:r>
      <w:r w:rsidRPr="004831AB">
        <w:rPr>
          <w:rStyle w:val="normaltextrun"/>
          <w:rFonts w:ascii="Times New Roman" w:eastAsia="Times New Roman" w:hAnsi="Times New Roman" w:cs="Times New Roman"/>
          <w:sz w:val="24"/>
          <w:szCs w:val="24"/>
          <w:lang w:val="sr-Cyrl-CS" w:eastAsia="en-GB"/>
        </w:rPr>
        <w:t xml:space="preserve"> годин</w:t>
      </w:r>
      <w:r w:rsidR="006A1862" w:rsidRPr="004831AB">
        <w:rPr>
          <w:rStyle w:val="normaltextrun"/>
          <w:rFonts w:ascii="Times New Roman" w:eastAsia="Times New Roman" w:hAnsi="Times New Roman" w:cs="Times New Roman"/>
          <w:sz w:val="24"/>
          <w:szCs w:val="24"/>
          <w:lang w:val="sr-Cyrl-CS" w:eastAsia="en-GB"/>
        </w:rPr>
        <w:t>e</w:t>
      </w:r>
      <w:r w:rsidRPr="004831AB">
        <w:rPr>
          <w:rStyle w:val="normaltextrun"/>
          <w:rFonts w:ascii="Times New Roman" w:eastAsia="Times New Roman" w:hAnsi="Times New Roman" w:cs="Times New Roman"/>
          <w:sz w:val="24"/>
          <w:szCs w:val="24"/>
          <w:lang w:val="sr-Cyrl-CS" w:eastAsia="en-GB"/>
        </w:rPr>
        <w:t xml:space="preserve"> </w:t>
      </w:r>
      <w:r w:rsidR="006A1862" w:rsidRPr="004831AB">
        <w:rPr>
          <w:rStyle w:val="normaltextrun"/>
          <w:rFonts w:ascii="Times New Roman" w:eastAsia="Times New Roman" w:hAnsi="Times New Roman" w:cs="Times New Roman"/>
          <w:sz w:val="24"/>
          <w:szCs w:val="24"/>
          <w:lang w:val="sr-Cyrl-CS" w:eastAsia="en-GB"/>
        </w:rPr>
        <w:t xml:space="preserve">сектор </w:t>
      </w:r>
      <w:r w:rsidRPr="004831AB">
        <w:rPr>
          <w:rStyle w:val="normaltextrun"/>
          <w:rFonts w:ascii="Times New Roman" w:eastAsia="Times New Roman" w:hAnsi="Times New Roman" w:cs="Times New Roman"/>
          <w:sz w:val="24"/>
          <w:szCs w:val="24"/>
          <w:lang w:val="sr-Cyrl-CS" w:eastAsia="en-GB"/>
        </w:rPr>
        <w:t xml:space="preserve">МСПП забележио је значајно повећање укупног броја предузећа, као и броја извозника и увозника, раст броја запослених, раст вредности промета, БДВ, извоза и увоза. Корелација између показатеља повећања броја привредних субјеката, запослености и оствареног БДВ указује да је предузетнички сектор имао јасну тенденцију раста у посматраном периоду, што потврђује и снажан тренд раста инвестиција у основна средства. Чињеница да су се удео извозника у целокупној популацији МСПП и учешће извоза у укупном промету у том периоду смањили, показује да су своју развој МСПП највише базирала на растућој тражњи на домаћем тржишту. </w:t>
      </w:r>
    </w:p>
    <w:p w14:paraId="3C3DD77D" w14:textId="6BD8A863" w:rsidR="00FF6A58" w:rsidRPr="004831AB" w:rsidRDefault="00FF6A58" w:rsidP="002A07FB">
      <w:pPr>
        <w:pStyle w:val="paragraph"/>
        <w:spacing w:before="0" w:beforeAutospacing="0" w:after="120" w:afterAutospacing="0"/>
        <w:ind w:firstLine="720"/>
        <w:jc w:val="both"/>
        <w:textAlignment w:val="baseline"/>
        <w:rPr>
          <w:lang w:val="sr-Cyrl-CS"/>
        </w:rPr>
      </w:pPr>
      <w:r w:rsidRPr="004831AB">
        <w:rPr>
          <w:rStyle w:val="eop"/>
          <w:rFonts w:eastAsiaTheme="majorEastAsia"/>
          <w:lang w:val="sr-Cyrl-CS"/>
        </w:rPr>
        <w:t xml:space="preserve">Од почетка другог квартала 2020. године, почиње нестабилан период у развоју МСПП услед утицаја пандемије </w:t>
      </w:r>
      <w:r w:rsidR="00DD1A6D" w:rsidRPr="004831AB">
        <w:rPr>
          <w:rStyle w:val="eop"/>
          <w:rFonts w:eastAsiaTheme="majorEastAsia"/>
          <w:iCs/>
          <w:lang w:val="sr-Cyrl-CS"/>
        </w:rPr>
        <w:t>COVID</w:t>
      </w:r>
      <w:r w:rsidRPr="004831AB">
        <w:rPr>
          <w:rStyle w:val="eop"/>
          <w:rFonts w:eastAsiaTheme="majorEastAsia"/>
          <w:lang w:val="sr-Cyrl-CS"/>
        </w:rPr>
        <w:t>-19, која је знатно изменила начин функционисања читаве светске привреде, а посебно с</w:t>
      </w:r>
      <w:r w:rsidRPr="004831AB">
        <w:rPr>
          <w:rStyle w:val="normaltextrun"/>
          <w:lang w:val="sr-Cyrl-CS"/>
        </w:rPr>
        <w:t>ектор</w:t>
      </w:r>
      <w:r w:rsidR="00013DB3" w:rsidRPr="004831AB">
        <w:rPr>
          <w:rStyle w:val="normaltextrun"/>
          <w:lang w:val="sr-Cyrl-CS"/>
        </w:rPr>
        <w:t xml:space="preserve"> услуга (туризам, угоститељство и</w:t>
      </w:r>
      <w:r w:rsidRPr="004831AB">
        <w:rPr>
          <w:rStyle w:val="normaltextrun"/>
          <w:lang w:val="sr-Cyrl-CS"/>
        </w:rPr>
        <w:t xml:space="preserve"> превоз путника) у ком послује и велики број МСПП. Правовремене мере подршке како привреди (пре свега МСПП), тако и становништву, које су током пандемије</w:t>
      </w:r>
      <w:r w:rsidR="00965FC4" w:rsidRPr="004831AB">
        <w:rPr>
          <w:rStyle w:val="normaltextrun"/>
          <w:lang w:val="sr-Cyrl-CS"/>
        </w:rPr>
        <w:t xml:space="preserve"> спровеле Влада</w:t>
      </w:r>
      <w:r w:rsidRPr="004831AB">
        <w:rPr>
          <w:rStyle w:val="normaltextrun"/>
          <w:lang w:val="sr-Cyrl-CS"/>
        </w:rPr>
        <w:t xml:space="preserve"> и Народна банка Србије</w:t>
      </w:r>
      <w:r w:rsidR="00CA26F3" w:rsidRPr="004831AB">
        <w:rPr>
          <w:rStyle w:val="normaltextrun"/>
          <w:lang w:val="sr-Cyrl-CS"/>
        </w:rPr>
        <w:t xml:space="preserve"> (НБС)</w:t>
      </w:r>
      <w:r w:rsidRPr="004831AB">
        <w:rPr>
          <w:rStyle w:val="normaltextrun"/>
          <w:lang w:val="sr-Cyrl-CS"/>
        </w:rPr>
        <w:t xml:space="preserve">, значајно су допринеле ублажавању утицаја негативних последица пандемије на сектор МСПП, па је и у тој години сектор, у целини гледано, остварио повећање броја привредних субјеката, </w:t>
      </w:r>
      <w:r w:rsidR="00A44ECA" w:rsidRPr="004831AB">
        <w:rPr>
          <w:rStyle w:val="normaltextrun"/>
          <w:lang w:val="sr-Cyrl-CS"/>
        </w:rPr>
        <w:t>БДВ</w:t>
      </w:r>
      <w:r w:rsidRPr="004831AB">
        <w:rPr>
          <w:rStyle w:val="normaltextrun"/>
          <w:lang w:val="sr-Cyrl-CS"/>
        </w:rPr>
        <w:t xml:space="preserve">, извоза и запослености, уз пад промета од 1.5%. Током 2021. године МСПП сектор показао је јасне знаке опоравка и остварио видан напредак у свим кључним показатељима, али је већ почетком 2022. године дошло до нове кризе </w:t>
      </w:r>
      <w:r w:rsidR="000A6331" w:rsidRPr="004831AB">
        <w:rPr>
          <w:rStyle w:val="normaltextrun"/>
          <w:lang w:val="sr-Cyrl-CS"/>
        </w:rPr>
        <w:t xml:space="preserve">условљене </w:t>
      </w:r>
      <w:r w:rsidRPr="004831AB">
        <w:rPr>
          <w:rStyle w:val="normaltextrun"/>
          <w:lang w:val="sr-Cyrl-CS"/>
        </w:rPr>
        <w:t xml:space="preserve">ратним сукобима у Украјини, за коју се очекује да ће имати вероватно још израженији негативни </w:t>
      </w:r>
      <w:r w:rsidR="000A6331" w:rsidRPr="004831AB">
        <w:rPr>
          <w:rStyle w:val="normaltextrun"/>
          <w:lang w:val="sr-Cyrl-CS"/>
        </w:rPr>
        <w:t xml:space="preserve">утицаји </w:t>
      </w:r>
      <w:r w:rsidRPr="004831AB">
        <w:rPr>
          <w:rStyle w:val="normaltextrun"/>
          <w:lang w:val="sr-Cyrl-CS"/>
        </w:rPr>
        <w:t>на сектор МСПП, пре свега услед раста цена енергената и инфлације,</w:t>
      </w:r>
      <w:r w:rsidR="00D633BD" w:rsidRPr="004831AB">
        <w:rPr>
          <w:rStyle w:val="normaltextrun"/>
          <w:lang w:val="sr-Cyrl-CS"/>
        </w:rPr>
        <w:t xml:space="preserve"> </w:t>
      </w:r>
      <w:r w:rsidRPr="004831AB">
        <w:rPr>
          <w:rStyle w:val="normaltextrun"/>
          <w:lang w:val="sr-Cyrl-CS"/>
        </w:rPr>
        <w:t xml:space="preserve">осетног поскупљења финансирања и тражње на домаћем и другим тржиштима са којима је Република Србија највише повезана. </w:t>
      </w:r>
    </w:p>
    <w:p w14:paraId="2B809F64" w14:textId="7D9695F7" w:rsidR="00FF6A58" w:rsidRPr="004831AB" w:rsidRDefault="00FF6A58" w:rsidP="002A07FB">
      <w:pPr>
        <w:spacing w:after="120" w:line="240" w:lineRule="auto"/>
        <w:ind w:firstLine="720"/>
        <w:jc w:val="both"/>
        <w:rPr>
          <w:rStyle w:val="normaltextrun"/>
          <w:rFonts w:ascii="Times New Roman" w:eastAsia="Times New Roman" w:hAnsi="Times New Roman" w:cs="Times New Roman"/>
          <w:sz w:val="24"/>
          <w:szCs w:val="24"/>
          <w:lang w:val="sr-Cyrl-CS" w:eastAsia="en-GB"/>
        </w:rPr>
      </w:pPr>
      <w:r w:rsidRPr="004831AB">
        <w:rPr>
          <w:rStyle w:val="normaltextrun"/>
          <w:rFonts w:ascii="Times New Roman" w:eastAsia="Times New Roman" w:hAnsi="Times New Roman" w:cs="Times New Roman"/>
          <w:sz w:val="24"/>
          <w:szCs w:val="24"/>
          <w:lang w:val="sr-Cyrl-CS" w:eastAsia="en-GB"/>
        </w:rPr>
        <w:t xml:space="preserve">Секторска анализа по делатностима указује да МСПП субјекти и даље највише послују у четири сектора – трговина, прерађивачка индустрија, саобраћај и складиштење и стручне, научне, техничке и иновационе делатности, за којима следе грађевина и услуге смештаја и исхране. У оквиру сектора прерађивачке индустрије, </w:t>
      </w:r>
      <w:r w:rsidR="006A1862" w:rsidRPr="004831AB">
        <w:rPr>
          <w:rStyle w:val="normaltextrun"/>
          <w:rFonts w:ascii="Times New Roman" w:eastAsia="Times New Roman" w:hAnsi="Times New Roman" w:cs="Times New Roman"/>
          <w:sz w:val="24"/>
          <w:szCs w:val="24"/>
          <w:lang w:val="sr-Cyrl-CS" w:eastAsia="en-GB"/>
        </w:rPr>
        <w:t>пет</w:t>
      </w:r>
      <w:r w:rsidR="00406594" w:rsidRPr="004831AB">
        <w:rPr>
          <w:rStyle w:val="normaltextrun"/>
          <w:rFonts w:ascii="Times New Roman" w:eastAsia="Times New Roman" w:hAnsi="Times New Roman" w:cs="Times New Roman"/>
          <w:sz w:val="24"/>
          <w:szCs w:val="24"/>
          <w:lang w:val="sr-Cyrl-CS" w:eastAsia="en-GB"/>
        </w:rPr>
        <w:t xml:space="preserve"> </w:t>
      </w:r>
      <w:r w:rsidRPr="004831AB">
        <w:rPr>
          <w:rStyle w:val="normaltextrun"/>
          <w:rFonts w:ascii="Times New Roman" w:eastAsia="Times New Roman" w:hAnsi="Times New Roman" w:cs="Times New Roman"/>
          <w:sz w:val="24"/>
          <w:szCs w:val="24"/>
          <w:lang w:val="sr-Cyrl-CS" w:eastAsia="en-GB"/>
        </w:rPr>
        <w:t>подсектора маркира укупно пословање МСПП, а то су прехрамбена индустрија, производња металних производа осим машина, про</w:t>
      </w:r>
      <w:r w:rsidR="004831AB">
        <w:rPr>
          <w:rStyle w:val="normaltextrun"/>
          <w:rFonts w:ascii="Times New Roman" w:eastAsia="Times New Roman" w:hAnsi="Times New Roman" w:cs="Times New Roman"/>
          <w:sz w:val="24"/>
          <w:szCs w:val="24"/>
          <w:lang w:val="sr-Cyrl-CS" w:eastAsia="en-GB"/>
        </w:rPr>
        <w:t>и</w:t>
      </w:r>
      <w:r w:rsidRPr="004831AB">
        <w:rPr>
          <w:rStyle w:val="normaltextrun"/>
          <w:rFonts w:ascii="Times New Roman" w:eastAsia="Times New Roman" w:hAnsi="Times New Roman" w:cs="Times New Roman"/>
          <w:sz w:val="24"/>
          <w:szCs w:val="24"/>
          <w:lang w:val="sr-Cyrl-CS" w:eastAsia="en-GB"/>
        </w:rPr>
        <w:t>зводња одевних предмета, прерада дрвета, индустрија гуме и пластике и металска индустрија. Учешће сектора високе и средње високе технолошке сложености у структури МСПП остало је и даље ниско и испод просека ЕУ, што је структурна карактеристика која се споро мења упркос снажном развоју И</w:t>
      </w:r>
      <w:r w:rsidR="00140550" w:rsidRPr="004831AB">
        <w:rPr>
          <w:rStyle w:val="normaltextrun"/>
          <w:rFonts w:ascii="Times New Roman" w:eastAsia="Times New Roman" w:hAnsi="Times New Roman" w:cs="Times New Roman"/>
          <w:sz w:val="24"/>
          <w:szCs w:val="24"/>
          <w:lang w:val="sr-Cyrl-CS" w:eastAsia="en-GB"/>
        </w:rPr>
        <w:t>К</w:t>
      </w:r>
      <w:r w:rsidRPr="004831AB">
        <w:rPr>
          <w:rStyle w:val="normaltextrun"/>
          <w:rFonts w:ascii="Times New Roman" w:eastAsia="Times New Roman" w:hAnsi="Times New Roman" w:cs="Times New Roman"/>
          <w:sz w:val="24"/>
          <w:szCs w:val="24"/>
          <w:lang w:val="sr-Cyrl-CS" w:eastAsia="en-GB"/>
        </w:rPr>
        <w:t>Т сектора.</w:t>
      </w:r>
      <w:r w:rsidR="00386B1E" w:rsidRPr="004831AB">
        <w:rPr>
          <w:rStyle w:val="normaltextrun"/>
          <w:rFonts w:ascii="Times New Roman" w:eastAsia="Times New Roman" w:hAnsi="Times New Roman" w:cs="Times New Roman"/>
          <w:sz w:val="24"/>
          <w:szCs w:val="24"/>
          <w:lang w:val="sr-Cyrl-CS" w:eastAsia="en-GB"/>
        </w:rPr>
        <w:t xml:space="preserve"> </w:t>
      </w:r>
    </w:p>
    <w:p w14:paraId="006F9606" w14:textId="174B65C8" w:rsidR="00FF6A58" w:rsidRPr="004831AB" w:rsidRDefault="00FF6A58" w:rsidP="002A07FB">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Охрабрујућа чињеница је да је у </w:t>
      </w:r>
      <w:r w:rsidR="00D633BD" w:rsidRPr="004831AB">
        <w:rPr>
          <w:rFonts w:ascii="Times New Roman" w:hAnsi="Times New Roman" w:cs="Times New Roman"/>
          <w:sz w:val="24"/>
          <w:szCs w:val="24"/>
          <w:lang w:val="sr-Cyrl-CS"/>
        </w:rPr>
        <w:t xml:space="preserve">претходном </w:t>
      </w:r>
      <w:r w:rsidRPr="004831AB">
        <w:rPr>
          <w:rFonts w:ascii="Times New Roman" w:hAnsi="Times New Roman" w:cs="Times New Roman"/>
          <w:sz w:val="24"/>
          <w:szCs w:val="24"/>
          <w:lang w:val="sr-Cyrl-CS"/>
        </w:rPr>
        <w:t xml:space="preserve">периоду дошло до значајног повећања продуктивности МСПП, али и даље постоји простор за унапређење јер је продуктивност МСПП у </w:t>
      </w:r>
      <w:r w:rsidR="00965FC4" w:rsidRPr="004831AB">
        <w:rPr>
          <w:rFonts w:ascii="Times New Roman" w:hAnsi="Times New Roman" w:cs="Times New Roman"/>
          <w:sz w:val="24"/>
          <w:szCs w:val="24"/>
          <w:lang w:val="sr-Cyrl-CS"/>
        </w:rPr>
        <w:t xml:space="preserve">Републици </w:t>
      </w:r>
      <w:r w:rsidRPr="004831AB">
        <w:rPr>
          <w:rFonts w:ascii="Times New Roman" w:hAnsi="Times New Roman" w:cs="Times New Roman"/>
          <w:sz w:val="24"/>
          <w:szCs w:val="24"/>
          <w:lang w:val="sr-Cyrl-CS"/>
        </w:rPr>
        <w:t xml:space="preserve">Србији 3,7 пута нижа у односу на просек ЕУ-27.  </w:t>
      </w:r>
    </w:p>
    <w:p w14:paraId="53DB1DB9" w14:textId="77777777" w:rsidR="00FF6A58" w:rsidRPr="004831AB" w:rsidRDefault="00FF6A58" w:rsidP="002A07FB">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Просечан број запослених по привредном субјекту у сектору МСПП се није много мењао и креће се око 2,4 у односу на 3,66 у ЕУ</w:t>
      </w:r>
      <w:r w:rsidRPr="004831AB">
        <w:rPr>
          <w:rStyle w:val="FootnoteReference"/>
          <w:rFonts w:ascii="Times New Roman" w:hAnsi="Times New Roman" w:cs="Times New Roman"/>
          <w:sz w:val="24"/>
          <w:szCs w:val="24"/>
          <w:lang w:val="sr-Cyrl-CS"/>
        </w:rPr>
        <w:footnoteReference w:id="30"/>
      </w:r>
      <w:r w:rsidRPr="004831AB">
        <w:rPr>
          <w:rFonts w:ascii="Times New Roman" w:hAnsi="Times New Roman" w:cs="Times New Roman"/>
          <w:sz w:val="24"/>
          <w:szCs w:val="24"/>
          <w:lang w:val="sr-Cyrl-CS"/>
        </w:rPr>
        <w:t>.  Иако овај податак треба узети са резервом јер у укупном броју запослених за домаћа МСПП, због специфичних методолошких разлога, нису узети у обзир предузетници, чињеница је да сектор МСПП остаје превише уситњен. Интересант</w:t>
      </w:r>
      <w:r w:rsidR="000A6331" w:rsidRPr="004831AB">
        <w:rPr>
          <w:rFonts w:ascii="Times New Roman" w:hAnsi="Times New Roman" w:cs="Times New Roman"/>
          <w:sz w:val="24"/>
          <w:szCs w:val="24"/>
          <w:lang w:val="sr-Cyrl-CS"/>
        </w:rPr>
        <w:t>ан</w:t>
      </w:r>
      <w:r w:rsidRPr="004831AB">
        <w:rPr>
          <w:rFonts w:ascii="Times New Roman" w:hAnsi="Times New Roman" w:cs="Times New Roman"/>
          <w:sz w:val="24"/>
          <w:szCs w:val="24"/>
          <w:lang w:val="sr-Cyrl-CS"/>
        </w:rPr>
        <w:t xml:space="preserve"> је и податак да преко 30 000 </w:t>
      </w:r>
      <w:r w:rsidR="007D5D0C" w:rsidRPr="004831AB">
        <w:rPr>
          <w:rFonts w:ascii="Times New Roman" w:hAnsi="Times New Roman" w:cs="Times New Roman"/>
          <w:sz w:val="24"/>
          <w:szCs w:val="24"/>
          <w:lang w:val="sr-Cyrl-CS"/>
        </w:rPr>
        <w:t>привредних субјеката у сектору МСПП</w:t>
      </w:r>
      <w:r w:rsidRPr="004831AB">
        <w:rPr>
          <w:rFonts w:ascii="Times New Roman" w:hAnsi="Times New Roman" w:cs="Times New Roman"/>
          <w:sz w:val="24"/>
          <w:szCs w:val="24"/>
          <w:lang w:val="sr-Cyrl-CS"/>
        </w:rPr>
        <w:t xml:space="preserve"> нема ни једног запосленог</w:t>
      </w:r>
      <w:r w:rsidR="00140550" w:rsidRPr="004831AB">
        <w:rPr>
          <w:rFonts w:ascii="Times New Roman" w:hAnsi="Times New Roman" w:cs="Times New Roman"/>
          <w:sz w:val="24"/>
          <w:szCs w:val="24"/>
          <w:lang w:val="sr-Cyrl-CS"/>
        </w:rPr>
        <w:t xml:space="preserve">, као и да постоји значајан број случајева да је исто физичко лице </w:t>
      </w:r>
      <w:r w:rsidR="00B30E56" w:rsidRPr="004831AB">
        <w:rPr>
          <w:rFonts w:ascii="Times New Roman" w:hAnsi="Times New Roman" w:cs="Times New Roman"/>
          <w:sz w:val="24"/>
          <w:szCs w:val="24"/>
          <w:lang w:val="sr-Cyrl-CS"/>
        </w:rPr>
        <w:t xml:space="preserve">истовремено </w:t>
      </w:r>
      <w:r w:rsidR="00140550" w:rsidRPr="004831AB">
        <w:rPr>
          <w:rFonts w:ascii="Times New Roman" w:hAnsi="Times New Roman" w:cs="Times New Roman"/>
          <w:sz w:val="24"/>
          <w:szCs w:val="24"/>
          <w:lang w:val="sr-Cyrl-CS"/>
        </w:rPr>
        <w:t>оснивач два или више МСПП.</w:t>
      </w:r>
    </w:p>
    <w:p w14:paraId="18102F3B" w14:textId="412F8745" w:rsidR="00FF6A58" w:rsidRPr="004831AB" w:rsidRDefault="00FF6A58" w:rsidP="002A07FB">
      <w:pPr>
        <w:autoSpaceDE w:val="0"/>
        <w:autoSpaceDN w:val="0"/>
        <w:adjustRightInd w:val="0"/>
        <w:spacing w:before="120" w:after="24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По питању регионалног аспекта пословања МСПП сектора, у Београдском </w:t>
      </w:r>
      <w:r w:rsidR="00293448" w:rsidRPr="004831AB">
        <w:rPr>
          <w:rFonts w:ascii="Times New Roman" w:hAnsi="Times New Roman" w:cs="Times New Roman"/>
          <w:sz w:val="24"/>
          <w:szCs w:val="24"/>
          <w:lang w:val="sr-Cyrl-CS"/>
        </w:rPr>
        <w:t xml:space="preserve">региону </w:t>
      </w:r>
      <w:r w:rsidRPr="004831AB">
        <w:rPr>
          <w:rFonts w:ascii="Times New Roman" w:hAnsi="Times New Roman" w:cs="Times New Roman"/>
          <w:sz w:val="24"/>
          <w:szCs w:val="24"/>
          <w:lang w:val="sr-Cyrl-CS"/>
        </w:rPr>
        <w:t xml:space="preserve">и региону Војводине и даље </w:t>
      </w:r>
      <w:r w:rsidR="000A6331" w:rsidRPr="004831AB">
        <w:rPr>
          <w:rFonts w:ascii="Times New Roman" w:hAnsi="Times New Roman" w:cs="Times New Roman"/>
          <w:sz w:val="24"/>
          <w:szCs w:val="24"/>
          <w:lang w:val="sr-Cyrl-CS"/>
        </w:rPr>
        <w:t xml:space="preserve">је </w:t>
      </w:r>
      <w:r w:rsidRPr="004831AB">
        <w:rPr>
          <w:rFonts w:ascii="Times New Roman" w:hAnsi="Times New Roman" w:cs="Times New Roman"/>
          <w:sz w:val="24"/>
          <w:szCs w:val="24"/>
          <w:lang w:val="sr-Cyrl-CS"/>
        </w:rPr>
        <w:t>већински концентрисано пословање МСПП и ту није дошло до већих померања. Када се посматра регионална асиметрија закључује се да су константно највеће диспропорције између Београдског</w:t>
      </w:r>
      <w:r w:rsidR="00293448" w:rsidRPr="004831AB">
        <w:rPr>
          <w:rFonts w:ascii="Times New Roman" w:hAnsi="Times New Roman" w:cs="Times New Roman"/>
          <w:sz w:val="24"/>
          <w:szCs w:val="24"/>
          <w:lang w:val="sr-Cyrl-CS"/>
        </w:rPr>
        <w:t xml:space="preserve"> региона</w:t>
      </w:r>
      <w:r w:rsidRPr="004831AB">
        <w:rPr>
          <w:rFonts w:ascii="Times New Roman" w:hAnsi="Times New Roman" w:cs="Times New Roman"/>
          <w:sz w:val="24"/>
          <w:szCs w:val="24"/>
          <w:lang w:val="sr-Cyrl-CS"/>
        </w:rPr>
        <w:t xml:space="preserve"> и Региона Јужна и Источна Србија. Упоредна анализа региона према реалним и просечним годишњим стопама раста/пада по свим индикаторима показује да Београдски регион остварује изнад просечне реалне стопе раста у односу на просечне стопе МСПП сектора у целини као и у односу на друге регионе, тако да је присутна негативна тенденција даљег продубљивања овог јаза. Слична је ситуација и на нивоу округа: општи закључак из упоредне серије податка је да се ни на нивоу округа не бележе значајнија померања и да градске средине региона и округа (Београд, Нови Сад, Ниш) и даље опредељују обим, структуру и динамику пословања МСПП сектора. Ова регионална диспропорција у развоју сектора МСПП је последица великог броја фактора који опредељују и свеукупан ниво развијености појединих средина, која се не може превазићи искључиво интервенцијама на нивоу МСПП сектора. Истовремено</w:t>
      </w:r>
      <w:r w:rsidR="00140550"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веома је важно да се за МСПП из мање развијених подручја обезбеди додатна подршка и помоћ, како би и јавна политика развоја МСПП дала допринос ублажавању регионалних развојних диспаритета. МСПП сектор је често носилац запошљавања у мање развијеним окрузима, где доприноси</w:t>
      </w:r>
      <w:r w:rsidR="00140550" w:rsidRPr="004831AB">
        <w:rPr>
          <w:rFonts w:ascii="Times New Roman" w:hAnsi="Times New Roman" w:cs="Times New Roman"/>
          <w:sz w:val="24"/>
          <w:szCs w:val="24"/>
          <w:lang w:val="sr-Cyrl-CS"/>
        </w:rPr>
        <w:t xml:space="preserve"> запослености</w:t>
      </w:r>
      <w:r w:rsidR="00AF3E45"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између 70-80% (нпр. Западнобачки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Јужнобанатски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Севернобачки</w:t>
      </w:r>
      <w:r w:rsidR="00BE0346" w:rsidRPr="004831AB">
        <w:rPr>
          <w:rFonts w:ascii="Times New Roman" w:hAnsi="Times New Roman" w:cs="Times New Roman"/>
          <w:sz w:val="24"/>
          <w:szCs w:val="24"/>
          <w:lang w:val="sr-Cyrl-CS"/>
        </w:rPr>
        <w:t xml:space="preserve"> управни округ, Сремски управни округ,</w:t>
      </w:r>
      <w:r w:rsidRPr="004831AB">
        <w:rPr>
          <w:rFonts w:ascii="Times New Roman" w:hAnsi="Times New Roman" w:cs="Times New Roman"/>
          <w:sz w:val="24"/>
          <w:szCs w:val="24"/>
          <w:lang w:val="sr-Cyrl-CS"/>
        </w:rPr>
        <w:t xml:space="preserve"> Мачвански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Моравички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Поморавск</w:t>
      </w:r>
      <w:r w:rsidR="00BE0346" w:rsidRPr="004831AB">
        <w:rPr>
          <w:rFonts w:ascii="Times New Roman" w:hAnsi="Times New Roman" w:cs="Times New Roman"/>
          <w:sz w:val="24"/>
          <w:szCs w:val="24"/>
          <w:lang w:val="sr-Cyrl-CS"/>
        </w:rPr>
        <w:t xml:space="preserve">и управни округ, </w:t>
      </w:r>
      <w:r w:rsidRPr="004831AB">
        <w:rPr>
          <w:rFonts w:ascii="Times New Roman" w:hAnsi="Times New Roman" w:cs="Times New Roman"/>
          <w:sz w:val="24"/>
          <w:szCs w:val="24"/>
          <w:lang w:val="sr-Cyrl-CS"/>
        </w:rPr>
        <w:t>Расински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Браничевски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Јабланички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Нишавски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Подунавски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xml:space="preserve"> и Пчињски</w:t>
      </w:r>
      <w:r w:rsidR="00BE0346" w:rsidRPr="004831AB">
        <w:rPr>
          <w:rFonts w:ascii="Times New Roman" w:hAnsi="Times New Roman" w:cs="Times New Roman"/>
          <w:sz w:val="24"/>
          <w:szCs w:val="24"/>
          <w:lang w:val="sr-Cyrl-CS"/>
        </w:rPr>
        <w:t xml:space="preserve"> управни округ</w:t>
      </w:r>
      <w:r w:rsidRPr="004831AB">
        <w:rPr>
          <w:rFonts w:ascii="Times New Roman" w:hAnsi="Times New Roman" w:cs="Times New Roman"/>
          <w:sz w:val="24"/>
          <w:szCs w:val="24"/>
          <w:lang w:val="sr-Cyrl-CS"/>
        </w:rPr>
        <w:t>). Још веће уче</w:t>
      </w:r>
      <w:r w:rsidR="00503418" w:rsidRPr="004831AB">
        <w:rPr>
          <w:rFonts w:ascii="Times New Roman" w:hAnsi="Times New Roman" w:cs="Times New Roman"/>
          <w:sz w:val="24"/>
          <w:szCs w:val="24"/>
          <w:lang w:val="sr-Cyrl-CS"/>
        </w:rPr>
        <w:t>шће у запошљавању МСПП имају у З</w:t>
      </w:r>
      <w:r w:rsidRPr="004831AB">
        <w:rPr>
          <w:rFonts w:ascii="Times New Roman" w:hAnsi="Times New Roman" w:cs="Times New Roman"/>
          <w:sz w:val="24"/>
          <w:szCs w:val="24"/>
          <w:lang w:val="sr-Cyrl-CS"/>
        </w:rPr>
        <w:t xml:space="preserve">ајечарском </w:t>
      </w:r>
      <w:r w:rsidR="00BE0346" w:rsidRPr="004831AB">
        <w:rPr>
          <w:rFonts w:ascii="Times New Roman" w:hAnsi="Times New Roman" w:cs="Times New Roman"/>
          <w:sz w:val="24"/>
          <w:szCs w:val="24"/>
          <w:lang w:val="sr-Cyrl-CS"/>
        </w:rPr>
        <w:t xml:space="preserve">управном округу </w:t>
      </w:r>
      <w:r w:rsidRPr="004831AB">
        <w:rPr>
          <w:rFonts w:ascii="Times New Roman" w:hAnsi="Times New Roman" w:cs="Times New Roman"/>
          <w:sz w:val="24"/>
          <w:szCs w:val="24"/>
          <w:lang w:val="sr-Cyrl-CS"/>
        </w:rPr>
        <w:t xml:space="preserve">и </w:t>
      </w:r>
      <w:r w:rsidR="00503418" w:rsidRPr="004831AB">
        <w:rPr>
          <w:rFonts w:ascii="Times New Roman" w:hAnsi="Times New Roman" w:cs="Times New Roman"/>
          <w:sz w:val="24"/>
          <w:szCs w:val="24"/>
          <w:lang w:val="sr-Cyrl-CS"/>
        </w:rPr>
        <w:t>З</w:t>
      </w:r>
      <w:r w:rsidR="00BE0346" w:rsidRPr="004831AB">
        <w:rPr>
          <w:rFonts w:ascii="Times New Roman" w:hAnsi="Times New Roman" w:cs="Times New Roman"/>
          <w:sz w:val="24"/>
          <w:szCs w:val="24"/>
          <w:lang w:val="sr-Cyrl-CS"/>
        </w:rPr>
        <w:t xml:space="preserve">латиборском управном округу (84,3%), </w:t>
      </w:r>
      <w:r w:rsidRPr="004831AB">
        <w:rPr>
          <w:rFonts w:ascii="Times New Roman" w:hAnsi="Times New Roman" w:cs="Times New Roman"/>
          <w:sz w:val="24"/>
          <w:szCs w:val="24"/>
          <w:lang w:val="sr-Cyrl-CS"/>
        </w:rPr>
        <w:t xml:space="preserve">као и у </w:t>
      </w:r>
      <w:r w:rsidR="00503418" w:rsidRPr="004831AB">
        <w:rPr>
          <w:rFonts w:ascii="Times New Roman" w:hAnsi="Times New Roman" w:cs="Times New Roman"/>
          <w:sz w:val="24"/>
          <w:szCs w:val="24"/>
          <w:lang w:val="sr-Cyrl-CS"/>
        </w:rPr>
        <w:t>Р</w:t>
      </w:r>
      <w:r w:rsidRPr="004831AB">
        <w:rPr>
          <w:rFonts w:ascii="Times New Roman" w:hAnsi="Times New Roman" w:cs="Times New Roman"/>
          <w:sz w:val="24"/>
          <w:szCs w:val="24"/>
          <w:lang w:val="sr-Cyrl-CS"/>
        </w:rPr>
        <w:t>ашком</w:t>
      </w:r>
      <w:r w:rsidR="00BE0346" w:rsidRPr="004831AB">
        <w:rPr>
          <w:rFonts w:ascii="Times New Roman" w:hAnsi="Times New Roman" w:cs="Times New Roman"/>
          <w:sz w:val="24"/>
          <w:szCs w:val="24"/>
          <w:lang w:val="sr-Cyrl-CS"/>
        </w:rPr>
        <w:t xml:space="preserve"> управном</w:t>
      </w:r>
      <w:r w:rsidRPr="004831AB">
        <w:rPr>
          <w:rFonts w:ascii="Times New Roman" w:hAnsi="Times New Roman" w:cs="Times New Roman"/>
          <w:sz w:val="24"/>
          <w:szCs w:val="24"/>
          <w:lang w:val="sr-Cyrl-CS"/>
        </w:rPr>
        <w:t xml:space="preserve"> </w:t>
      </w:r>
      <w:r w:rsidR="00140550" w:rsidRPr="004831AB">
        <w:rPr>
          <w:rFonts w:ascii="Times New Roman" w:hAnsi="Times New Roman" w:cs="Times New Roman"/>
          <w:sz w:val="24"/>
          <w:szCs w:val="24"/>
          <w:lang w:val="sr-Cyrl-CS"/>
        </w:rPr>
        <w:t xml:space="preserve">округу </w:t>
      </w:r>
      <w:r w:rsidRPr="004831AB">
        <w:rPr>
          <w:rFonts w:ascii="Times New Roman" w:hAnsi="Times New Roman" w:cs="Times New Roman"/>
          <w:sz w:val="24"/>
          <w:szCs w:val="24"/>
          <w:lang w:val="sr-Cyrl-CS"/>
        </w:rPr>
        <w:t xml:space="preserve">(93,5%). </w:t>
      </w:r>
      <w:r w:rsidR="00386B1E" w:rsidRPr="004831AB">
        <w:rPr>
          <w:rFonts w:ascii="Times New Roman" w:hAnsi="Times New Roman" w:cs="Times New Roman"/>
          <w:sz w:val="24"/>
          <w:szCs w:val="24"/>
          <w:lang w:val="sr-Cyrl-CS"/>
        </w:rPr>
        <w:t xml:space="preserve"> </w:t>
      </w:r>
    </w:p>
    <w:p w14:paraId="3FF0B463" w14:textId="7DBAA1F1" w:rsidR="00386B1E" w:rsidRPr="004831AB" w:rsidRDefault="00140550" w:rsidP="002A07FB">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 периоду између 2011. и 2021. године, удео жена у укупном броју предузетника (рачунајући и регистроване предузетнике и особе које су истовремено (су)власници и главни заступници привредних др</w:t>
      </w:r>
      <w:r w:rsidR="004831AB">
        <w:rPr>
          <w:rFonts w:ascii="Times New Roman" w:hAnsi="Times New Roman" w:cs="Times New Roman"/>
          <w:sz w:val="24"/>
          <w:szCs w:val="24"/>
          <w:lang w:val="sr-Cyrl-CS"/>
        </w:rPr>
        <w:t>у</w:t>
      </w:r>
      <w:r w:rsidRPr="004831AB">
        <w:rPr>
          <w:rFonts w:ascii="Times New Roman" w:hAnsi="Times New Roman" w:cs="Times New Roman"/>
          <w:sz w:val="24"/>
          <w:szCs w:val="24"/>
          <w:lang w:val="sr-Cyrl-CS"/>
        </w:rPr>
        <w:t>штава</w:t>
      </w:r>
      <w:r w:rsidR="00BA14BD"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повећан је са 28,9% на 31,2%</w:t>
      </w:r>
      <w:r w:rsidR="008B5430" w:rsidRPr="004831AB">
        <w:rPr>
          <w:rFonts w:ascii="Times New Roman" w:hAnsi="Times New Roman" w:cs="Times New Roman"/>
          <w:sz w:val="24"/>
          <w:szCs w:val="24"/>
          <w:lang w:val="sr-Cyrl-CS"/>
        </w:rPr>
        <w:t>. За разлику од пре десет</w:t>
      </w:r>
      <w:r w:rsidR="00BA14BD" w:rsidRPr="004831AB">
        <w:rPr>
          <w:rFonts w:ascii="Times New Roman" w:hAnsi="Times New Roman" w:cs="Times New Roman"/>
          <w:sz w:val="24"/>
          <w:szCs w:val="24"/>
          <w:lang w:val="sr-Cyrl-CS"/>
        </w:rPr>
        <w:t xml:space="preserve"> година, </w:t>
      </w:r>
      <w:r w:rsidR="00C33933" w:rsidRPr="004831AB">
        <w:rPr>
          <w:rFonts w:ascii="Times New Roman" w:hAnsi="Times New Roman" w:cs="Times New Roman"/>
          <w:sz w:val="24"/>
          <w:szCs w:val="24"/>
          <w:lang w:val="sr-Cyrl-CS"/>
        </w:rPr>
        <w:t xml:space="preserve"> сада се жене много више одлучују да покрену сопствени бизниз не из нужде, како би обезбедиле запослење, већ како би искористиле пословне шансе</w:t>
      </w:r>
      <w:r w:rsidR="00BA14BD" w:rsidRPr="004831AB">
        <w:rPr>
          <w:rFonts w:ascii="Times New Roman" w:hAnsi="Times New Roman" w:cs="Times New Roman"/>
          <w:sz w:val="24"/>
          <w:szCs w:val="24"/>
          <w:lang w:val="sr-Cyrl-CS"/>
        </w:rPr>
        <w:t>. Женски бизниси и даље највише послују у сектору услуга, а у</w:t>
      </w:r>
      <w:r w:rsidRPr="004831AB">
        <w:rPr>
          <w:rStyle w:val="normaltextrun"/>
          <w:rFonts w:ascii="Times New Roman" w:eastAsia="Times New Roman" w:hAnsi="Times New Roman" w:cs="Times New Roman"/>
          <w:sz w:val="24"/>
          <w:szCs w:val="24"/>
          <w:lang w:val="sr-Cyrl-CS" w:eastAsia="en-GB"/>
        </w:rPr>
        <w:t xml:space="preserve"> односу на</w:t>
      </w:r>
      <w:r w:rsidR="007D6F79" w:rsidRPr="004831AB">
        <w:rPr>
          <w:rStyle w:val="normaltextrun"/>
          <w:rFonts w:ascii="Times New Roman" w:eastAsia="Times New Roman" w:hAnsi="Times New Roman" w:cs="Times New Roman"/>
          <w:sz w:val="24"/>
          <w:szCs w:val="24"/>
          <w:lang w:val="sr-Cyrl-CS" w:eastAsia="en-GB"/>
        </w:rPr>
        <w:t xml:space="preserve"> 2011. годину </w:t>
      </w:r>
      <w:r w:rsidRPr="004831AB">
        <w:rPr>
          <w:rStyle w:val="normaltextrun"/>
          <w:rFonts w:ascii="Times New Roman" w:eastAsia="Times New Roman" w:hAnsi="Times New Roman" w:cs="Times New Roman"/>
          <w:sz w:val="24"/>
          <w:szCs w:val="24"/>
          <w:lang w:val="sr-Cyrl-CS" w:eastAsia="en-GB"/>
        </w:rPr>
        <w:t xml:space="preserve">значајно је смањен удео предузетница које послују у сектору трговине, донекле је смањен и удео оних које послују у сектору угоститељства, а повећан је удео оних које послују у сектору информатичких и комуникационих делатности, некретнина и посебно стручних, научних техничких и иновационих делатности, </w:t>
      </w:r>
      <w:r w:rsidR="00BA14BD" w:rsidRPr="004831AB">
        <w:rPr>
          <w:rStyle w:val="normaltextrun"/>
          <w:rFonts w:ascii="Times New Roman" w:eastAsia="Times New Roman" w:hAnsi="Times New Roman" w:cs="Times New Roman"/>
          <w:sz w:val="24"/>
          <w:szCs w:val="24"/>
          <w:lang w:val="sr-Cyrl-CS" w:eastAsia="en-GB"/>
        </w:rPr>
        <w:t>док</w:t>
      </w:r>
      <w:r w:rsidRPr="004831AB">
        <w:rPr>
          <w:rStyle w:val="normaltextrun"/>
          <w:rFonts w:ascii="Times New Roman" w:eastAsia="Times New Roman" w:hAnsi="Times New Roman" w:cs="Times New Roman"/>
          <w:sz w:val="24"/>
          <w:szCs w:val="24"/>
          <w:lang w:val="sr-Cyrl-CS" w:eastAsia="en-GB"/>
        </w:rPr>
        <w:t xml:space="preserve"> је готово удвостручен удео </w:t>
      </w:r>
      <w:r w:rsidR="00BA14BD" w:rsidRPr="004831AB">
        <w:rPr>
          <w:rStyle w:val="normaltextrun"/>
          <w:rFonts w:ascii="Times New Roman" w:eastAsia="Times New Roman" w:hAnsi="Times New Roman" w:cs="Times New Roman"/>
          <w:sz w:val="24"/>
          <w:szCs w:val="24"/>
          <w:lang w:val="sr-Cyrl-CS" w:eastAsia="en-GB"/>
        </w:rPr>
        <w:t xml:space="preserve">женских </w:t>
      </w:r>
      <w:r w:rsidRPr="004831AB">
        <w:rPr>
          <w:rStyle w:val="normaltextrun"/>
          <w:rFonts w:ascii="Times New Roman" w:eastAsia="Times New Roman" w:hAnsi="Times New Roman" w:cs="Times New Roman"/>
          <w:sz w:val="24"/>
          <w:szCs w:val="24"/>
          <w:lang w:val="sr-Cyrl-CS" w:eastAsia="en-GB"/>
        </w:rPr>
        <w:t xml:space="preserve">бизниса у области административних и социјалних услуга, пре свега због повећаног удела пословних подухвата у области образовања и здравствене заштите. </w:t>
      </w:r>
      <w:r w:rsidR="007D6F79" w:rsidRPr="004831AB">
        <w:rPr>
          <w:rFonts w:ascii="Times New Roman" w:hAnsi="Times New Roman" w:cs="Times New Roman"/>
          <w:iCs/>
          <w:sz w:val="24"/>
          <w:szCs w:val="24"/>
          <w:lang w:val="sr-Cyrl-CS"/>
        </w:rPr>
        <w:t xml:space="preserve">Учешће женских бизниса </w:t>
      </w:r>
      <w:r w:rsidR="00386B1E" w:rsidRPr="004831AB">
        <w:rPr>
          <w:rFonts w:ascii="Times New Roman" w:hAnsi="Times New Roman" w:cs="Times New Roman"/>
          <w:sz w:val="24"/>
          <w:szCs w:val="24"/>
          <w:lang w:val="sr-Cyrl-CS"/>
        </w:rPr>
        <w:t>је доста уједначен</w:t>
      </w:r>
      <w:r w:rsidR="007D6F79" w:rsidRPr="004831AB">
        <w:rPr>
          <w:rFonts w:ascii="Times New Roman" w:hAnsi="Times New Roman" w:cs="Times New Roman"/>
          <w:sz w:val="24"/>
          <w:szCs w:val="24"/>
          <w:lang w:val="sr-Cyrl-CS"/>
        </w:rPr>
        <w:t>о</w:t>
      </w:r>
      <w:r w:rsidR="00386B1E" w:rsidRPr="004831AB">
        <w:rPr>
          <w:rFonts w:ascii="Times New Roman" w:hAnsi="Times New Roman" w:cs="Times New Roman"/>
          <w:sz w:val="24"/>
          <w:szCs w:val="24"/>
          <w:lang w:val="sr-Cyrl-CS"/>
        </w:rPr>
        <w:t xml:space="preserve"> према регионима, с нешто већим уделом предузетница у </w:t>
      </w:r>
      <w:r w:rsidR="00AF3E45" w:rsidRPr="004831AB">
        <w:rPr>
          <w:rFonts w:ascii="Times New Roman" w:hAnsi="Times New Roman" w:cs="Times New Roman"/>
          <w:sz w:val="24"/>
          <w:szCs w:val="24"/>
          <w:lang w:val="sr-Cyrl-CS"/>
        </w:rPr>
        <w:t>Б</w:t>
      </w:r>
      <w:r w:rsidR="00386B1E" w:rsidRPr="004831AB">
        <w:rPr>
          <w:rFonts w:ascii="Times New Roman" w:hAnsi="Times New Roman" w:cs="Times New Roman"/>
          <w:sz w:val="24"/>
          <w:szCs w:val="24"/>
          <w:lang w:val="sr-Cyrl-CS"/>
        </w:rPr>
        <w:t>еоградском региону и најнижим</w:t>
      </w:r>
      <w:r w:rsidR="00BA14BD" w:rsidRPr="004831AB">
        <w:rPr>
          <w:rFonts w:ascii="Times New Roman" w:hAnsi="Times New Roman" w:cs="Times New Roman"/>
          <w:sz w:val="24"/>
          <w:szCs w:val="24"/>
          <w:lang w:val="sr-Cyrl-CS"/>
        </w:rPr>
        <w:t xml:space="preserve"> </w:t>
      </w:r>
      <w:r w:rsidR="00BA14BD" w:rsidRPr="004831AB">
        <w:rPr>
          <w:rFonts w:ascii="Times New Roman" w:hAnsi="Times New Roman" w:cs="Times New Roman"/>
          <w:sz w:val="24"/>
          <w:szCs w:val="24"/>
          <w:lang w:val="sr-Cyrl-CS"/>
        </w:rPr>
        <w:lastRenderedPageBreak/>
        <w:t>учешћем</w:t>
      </w:r>
      <w:r w:rsidR="00386B1E" w:rsidRPr="004831AB">
        <w:rPr>
          <w:rFonts w:ascii="Times New Roman" w:hAnsi="Times New Roman" w:cs="Times New Roman"/>
          <w:sz w:val="24"/>
          <w:szCs w:val="24"/>
          <w:lang w:val="sr-Cyrl-CS"/>
        </w:rPr>
        <w:t xml:space="preserve"> у региону Јужне и Источне Србије</w:t>
      </w:r>
      <w:r w:rsidR="00BA14BD" w:rsidRPr="004831AB">
        <w:rPr>
          <w:rFonts w:ascii="Times New Roman" w:hAnsi="Times New Roman" w:cs="Times New Roman"/>
          <w:sz w:val="24"/>
          <w:szCs w:val="24"/>
          <w:lang w:val="sr-Cyrl-CS"/>
        </w:rPr>
        <w:t>.</w:t>
      </w:r>
      <w:r w:rsidR="00693454" w:rsidRPr="004831AB" w:rsidDel="00693454">
        <w:rPr>
          <w:rFonts w:ascii="Times New Roman" w:hAnsi="Times New Roman" w:cs="Times New Roman"/>
          <w:sz w:val="24"/>
          <w:szCs w:val="24"/>
          <w:lang w:val="sr-Cyrl-CS"/>
        </w:rPr>
        <w:t xml:space="preserve"> </w:t>
      </w:r>
      <w:r w:rsidR="00BA14BD" w:rsidRPr="004831AB">
        <w:rPr>
          <w:rFonts w:ascii="Times New Roman" w:hAnsi="Times New Roman" w:cs="Times New Roman"/>
          <w:sz w:val="24"/>
          <w:szCs w:val="24"/>
          <w:lang w:val="sr-Cyrl-CS"/>
        </w:rPr>
        <w:t>У</w:t>
      </w:r>
      <w:r w:rsidR="00386B1E" w:rsidRPr="004831AB">
        <w:rPr>
          <w:rFonts w:ascii="Times New Roman" w:hAnsi="Times New Roman" w:cs="Times New Roman"/>
          <w:sz w:val="24"/>
          <w:szCs w:val="24"/>
          <w:lang w:val="sr-Cyrl-CS"/>
        </w:rPr>
        <w:t xml:space="preserve"> поређењу са стањем из 2011. године, повећањ</w:t>
      </w:r>
      <w:r w:rsidR="00BA14BD" w:rsidRPr="004831AB">
        <w:rPr>
          <w:rFonts w:ascii="Times New Roman" w:hAnsi="Times New Roman" w:cs="Times New Roman"/>
          <w:sz w:val="24"/>
          <w:szCs w:val="24"/>
          <w:lang w:val="sr-Cyrl-CS"/>
        </w:rPr>
        <w:t>е</w:t>
      </w:r>
      <w:r w:rsidR="00386B1E" w:rsidRPr="004831AB">
        <w:rPr>
          <w:rFonts w:ascii="Times New Roman" w:hAnsi="Times New Roman" w:cs="Times New Roman"/>
          <w:sz w:val="24"/>
          <w:szCs w:val="24"/>
          <w:lang w:val="sr-Cyrl-CS"/>
        </w:rPr>
        <w:t xml:space="preserve"> удела жена међу предузетницима </w:t>
      </w:r>
      <w:r w:rsidR="00BA14BD" w:rsidRPr="004831AB">
        <w:rPr>
          <w:rFonts w:ascii="Times New Roman" w:hAnsi="Times New Roman" w:cs="Times New Roman"/>
          <w:sz w:val="24"/>
          <w:szCs w:val="24"/>
          <w:lang w:val="sr-Cyrl-CS"/>
        </w:rPr>
        <w:t>забележено</w:t>
      </w:r>
      <w:r w:rsidR="007D6F79" w:rsidRPr="004831AB">
        <w:rPr>
          <w:rFonts w:ascii="Times New Roman" w:hAnsi="Times New Roman" w:cs="Times New Roman"/>
          <w:sz w:val="24"/>
          <w:szCs w:val="24"/>
          <w:lang w:val="sr-Cyrl-CS"/>
        </w:rPr>
        <w:t xml:space="preserve"> </w:t>
      </w:r>
      <w:r w:rsidR="00386B1E" w:rsidRPr="004831AB">
        <w:rPr>
          <w:rFonts w:ascii="Times New Roman" w:hAnsi="Times New Roman" w:cs="Times New Roman"/>
          <w:sz w:val="24"/>
          <w:szCs w:val="24"/>
          <w:lang w:val="sr-Cyrl-CS"/>
        </w:rPr>
        <w:t>је у свим регионима</w:t>
      </w:r>
      <w:r w:rsidR="007D6F79" w:rsidRPr="004831AB">
        <w:rPr>
          <w:rFonts w:ascii="Times New Roman" w:hAnsi="Times New Roman" w:cs="Times New Roman"/>
          <w:sz w:val="24"/>
          <w:szCs w:val="24"/>
          <w:lang w:val="sr-Cyrl-CS"/>
        </w:rPr>
        <w:t xml:space="preserve">. </w:t>
      </w:r>
    </w:p>
    <w:p w14:paraId="10451E86" w14:textId="28342990" w:rsidR="003A2E1A" w:rsidRPr="004831AB" w:rsidRDefault="00115AD9" w:rsidP="00115AD9">
      <w:pPr>
        <w:pStyle w:val="Heading2"/>
        <w:rPr>
          <w:b w:val="0"/>
          <w:lang w:val="sr-Cyrl-CS"/>
        </w:rPr>
      </w:pPr>
      <w:r w:rsidRPr="004831AB">
        <w:rPr>
          <w:b w:val="0"/>
          <w:lang w:val="sr-Cyrl-CS"/>
        </w:rPr>
        <w:t xml:space="preserve">3.2. </w:t>
      </w:r>
      <w:r w:rsidR="003A2E1A" w:rsidRPr="004831AB">
        <w:rPr>
          <w:b w:val="0"/>
          <w:lang w:val="sr-Cyrl-CS"/>
        </w:rPr>
        <w:t xml:space="preserve">Анализа остварених резултата спровођења претходних докумената јавне политике </w:t>
      </w:r>
    </w:p>
    <w:p w14:paraId="46B0A504" w14:textId="28653AA1" w:rsidR="00056167" w:rsidRPr="004831AB" w:rsidRDefault="002A07FB"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Влада</w:t>
      </w:r>
      <w:r w:rsidR="00056167" w:rsidRPr="004831AB">
        <w:rPr>
          <w:rFonts w:ascii="Times New Roman" w:hAnsi="Times New Roman" w:cs="Times New Roman"/>
          <w:sz w:val="24"/>
          <w:szCs w:val="24"/>
          <w:lang w:val="sr-Cyrl-CS"/>
        </w:rPr>
        <w:t xml:space="preserve"> је у марту 2015. године усвојила Стратегију </w:t>
      </w:r>
      <w:r w:rsidR="00AF3E45" w:rsidRPr="004831AB">
        <w:rPr>
          <w:rFonts w:ascii="Times New Roman" w:hAnsi="Times New Roman" w:cs="Times New Roman"/>
          <w:sz w:val="24"/>
          <w:szCs w:val="24"/>
          <w:lang w:val="sr-Cyrl-CS"/>
        </w:rPr>
        <w:t>МСПП</w:t>
      </w:r>
      <w:r w:rsidR="00056167" w:rsidRPr="004831AB">
        <w:rPr>
          <w:rFonts w:ascii="Times New Roman" w:hAnsi="Times New Roman" w:cs="Times New Roman"/>
          <w:sz w:val="24"/>
          <w:szCs w:val="24"/>
          <w:lang w:val="sr-Cyrl-CS"/>
        </w:rPr>
        <w:t>.</w:t>
      </w:r>
      <w:r w:rsidR="0074250C" w:rsidRPr="004831AB">
        <w:rPr>
          <w:rStyle w:val="FootnoteReference"/>
          <w:rFonts w:ascii="Times New Roman" w:hAnsi="Times New Roman" w:cs="Times New Roman"/>
          <w:sz w:val="24"/>
          <w:szCs w:val="24"/>
          <w:lang w:val="sr-Cyrl-CS"/>
        </w:rPr>
        <w:footnoteReference w:id="31"/>
      </w:r>
      <w:r w:rsidR="00056167" w:rsidRPr="004831AB">
        <w:rPr>
          <w:rFonts w:ascii="Times New Roman" w:hAnsi="Times New Roman" w:cs="Times New Roman"/>
          <w:sz w:val="24"/>
          <w:szCs w:val="24"/>
          <w:lang w:val="sr-Cyrl-CS"/>
        </w:rPr>
        <w:t xml:space="preserve"> Заједно са њом, усвојен је детаљан двогодишњи Акциони план за њено спровођење, чије важење је продужено за читав период трајања Стратегије</w:t>
      </w:r>
      <w:r w:rsidR="003E14AF" w:rsidRPr="004831AB">
        <w:rPr>
          <w:rFonts w:ascii="Times New Roman" w:hAnsi="Times New Roman" w:cs="Times New Roman"/>
          <w:sz w:val="24"/>
          <w:szCs w:val="24"/>
          <w:lang w:val="sr-Cyrl-CS"/>
        </w:rPr>
        <w:t xml:space="preserve"> МСПП</w:t>
      </w:r>
      <w:r w:rsidR="00056167" w:rsidRPr="004831AB">
        <w:rPr>
          <w:rFonts w:ascii="Times New Roman" w:hAnsi="Times New Roman" w:cs="Times New Roman"/>
          <w:sz w:val="24"/>
          <w:szCs w:val="24"/>
          <w:lang w:val="sr-Cyrl-CS"/>
        </w:rPr>
        <w:t>, имајући у виду број предви</w:t>
      </w:r>
      <w:r w:rsidR="004831AB">
        <w:rPr>
          <w:rFonts w:ascii="Times New Roman" w:hAnsi="Times New Roman" w:cs="Times New Roman"/>
          <w:sz w:val="24"/>
          <w:szCs w:val="24"/>
          <w:lang w:val="sr-Cyrl-CS"/>
        </w:rPr>
        <w:t>ђ</w:t>
      </w:r>
      <w:r w:rsidR="00056167" w:rsidRPr="004831AB">
        <w:rPr>
          <w:rFonts w:ascii="Times New Roman" w:hAnsi="Times New Roman" w:cs="Times New Roman"/>
          <w:sz w:val="24"/>
          <w:szCs w:val="24"/>
          <w:lang w:val="sr-Cyrl-CS"/>
        </w:rPr>
        <w:t>ених активности, њихову свеобухватност и комплек</w:t>
      </w:r>
      <w:r w:rsidR="004831AB">
        <w:rPr>
          <w:rFonts w:ascii="Times New Roman" w:hAnsi="Times New Roman" w:cs="Times New Roman"/>
          <w:sz w:val="24"/>
          <w:szCs w:val="24"/>
          <w:lang w:val="sr-Cyrl-CS"/>
        </w:rPr>
        <w:t>с</w:t>
      </w:r>
      <w:r w:rsidR="00056167" w:rsidRPr="004831AB">
        <w:rPr>
          <w:rFonts w:ascii="Times New Roman" w:hAnsi="Times New Roman" w:cs="Times New Roman"/>
          <w:sz w:val="24"/>
          <w:szCs w:val="24"/>
          <w:lang w:val="sr-Cyrl-CS"/>
        </w:rPr>
        <w:t xml:space="preserve">ност. </w:t>
      </w:r>
    </w:p>
    <w:p w14:paraId="01B755FC" w14:textId="77777777" w:rsidR="0074250C" w:rsidRPr="004831AB" w:rsidRDefault="0074250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Ова стратегија представљала је средњорочни оквир политике развоја сектора МСПП у Србији до 2020. године и њоме су били дефинисани оквир, циљеви, приоритети и мере за унапређење развоја МСПП и конкурентности. Визија која је била предвиђена Стратегијом </w:t>
      </w:r>
      <w:r w:rsidR="003E14AF" w:rsidRPr="004831AB">
        <w:rPr>
          <w:rFonts w:ascii="Times New Roman" w:hAnsi="Times New Roman" w:cs="Times New Roman"/>
          <w:sz w:val="24"/>
          <w:szCs w:val="24"/>
          <w:lang w:val="sr-Cyrl-CS"/>
        </w:rPr>
        <w:t xml:space="preserve">МСПП </w:t>
      </w:r>
      <w:r w:rsidRPr="004831AB">
        <w:rPr>
          <w:rFonts w:ascii="Times New Roman" w:hAnsi="Times New Roman" w:cs="Times New Roman"/>
          <w:sz w:val="24"/>
          <w:szCs w:val="24"/>
          <w:lang w:val="sr-Cyrl-CS"/>
        </w:rPr>
        <w:t>јесте „развој предузетништва и конкурентности, заснован на приватној предузетничкој иницијативи, знању и иновативности, у циљу оснаживања домаћих микро, малих и средњих привредних друштава и предузетника у довољној мери да спремно одговоре на притисак конкуренције на заједничком тржишту ЕУ и допринесу побољшању животног стандарда у Републици Србији</w:t>
      </w:r>
      <w:r w:rsidR="009675BD" w:rsidRPr="004831AB">
        <w:rPr>
          <w:rFonts w:ascii="Times New Roman" w:hAnsi="Times New Roman" w:cs="Times New Roman"/>
          <w:sz w:val="24"/>
          <w:szCs w:val="24"/>
          <w:lang w:val="sr-Cyrl-CS"/>
        </w:rPr>
        <w:t>.</w:t>
      </w:r>
      <w:r w:rsidR="007E5D5C" w:rsidRPr="004831AB">
        <w:rPr>
          <w:rFonts w:ascii="Times New Roman" w:hAnsi="Times New Roman" w:cs="Times New Roman"/>
          <w:sz w:val="24"/>
          <w:szCs w:val="24"/>
          <w:lang w:val="sr-Cyrl-CS"/>
        </w:rPr>
        <w:t>”</w:t>
      </w:r>
      <w:r w:rsidRPr="004831AB">
        <w:rPr>
          <w:rStyle w:val="FootnoteReference"/>
          <w:rFonts w:ascii="Times New Roman" w:hAnsi="Times New Roman" w:cs="Times New Roman"/>
          <w:sz w:val="24"/>
          <w:szCs w:val="24"/>
          <w:lang w:val="sr-Cyrl-CS"/>
        </w:rPr>
        <w:footnoteReference w:id="32"/>
      </w:r>
      <w:r w:rsidRPr="004831AB">
        <w:rPr>
          <w:rFonts w:ascii="Times New Roman" w:hAnsi="Times New Roman" w:cs="Times New Roman"/>
          <w:sz w:val="24"/>
          <w:szCs w:val="24"/>
          <w:lang w:val="sr-Cyrl-CS"/>
        </w:rPr>
        <w:t xml:space="preserve">  </w:t>
      </w:r>
    </w:p>
    <w:p w14:paraId="716A5B9E" w14:textId="3DDF2CB2" w:rsidR="0074250C" w:rsidRPr="004831AB" w:rsidRDefault="0074250C" w:rsidP="009F36FE">
      <w:pPr>
        <w:spacing w:after="120"/>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Како би се остварила ова визиј</w:t>
      </w:r>
      <w:r w:rsidR="0067528A" w:rsidRPr="004831AB">
        <w:rPr>
          <w:rFonts w:ascii="Times New Roman" w:hAnsi="Times New Roman" w:cs="Times New Roman"/>
          <w:sz w:val="24"/>
          <w:szCs w:val="24"/>
          <w:lang w:val="sr-Cyrl-CS"/>
        </w:rPr>
        <w:t>а, Стратегијом</w:t>
      </w:r>
      <w:r w:rsidR="003E14AF" w:rsidRPr="004831AB">
        <w:rPr>
          <w:rFonts w:ascii="Times New Roman" w:hAnsi="Times New Roman" w:cs="Times New Roman"/>
          <w:sz w:val="24"/>
          <w:szCs w:val="24"/>
          <w:lang w:val="sr-Cyrl-CS"/>
        </w:rPr>
        <w:t xml:space="preserve"> МСПП</w:t>
      </w:r>
      <w:r w:rsidR="0067528A" w:rsidRPr="004831AB">
        <w:rPr>
          <w:rFonts w:ascii="Times New Roman" w:hAnsi="Times New Roman" w:cs="Times New Roman"/>
          <w:sz w:val="24"/>
          <w:szCs w:val="24"/>
          <w:lang w:val="sr-Cyrl-CS"/>
        </w:rPr>
        <w:t xml:space="preserve"> утврђено је</w:t>
      </w:r>
      <w:r w:rsidRPr="004831AB">
        <w:rPr>
          <w:rFonts w:ascii="Times New Roman" w:hAnsi="Times New Roman" w:cs="Times New Roman"/>
          <w:sz w:val="24"/>
          <w:szCs w:val="24"/>
          <w:lang w:val="sr-Cyrl-CS"/>
        </w:rPr>
        <w:t xml:space="preserve"> шест стратешких циљева који су даље разрађени кроз специфичне циљеве. Ови стратешки циљеви одговарају стубовима Стратегије</w:t>
      </w:r>
      <w:r w:rsidR="003E14AF" w:rsidRPr="004831AB">
        <w:rPr>
          <w:rFonts w:ascii="Times New Roman" w:hAnsi="Times New Roman" w:cs="Times New Roman"/>
          <w:sz w:val="24"/>
          <w:szCs w:val="24"/>
          <w:lang w:val="sr-Cyrl-CS"/>
        </w:rPr>
        <w:t xml:space="preserve"> МСПП</w:t>
      </w:r>
      <w:r w:rsidRPr="004831AB">
        <w:rPr>
          <w:rFonts w:ascii="Times New Roman" w:hAnsi="Times New Roman" w:cs="Times New Roman"/>
          <w:sz w:val="24"/>
          <w:szCs w:val="24"/>
          <w:lang w:val="sr-Cyrl-CS"/>
        </w:rPr>
        <w:t xml:space="preserve">: </w:t>
      </w:r>
    </w:p>
    <w:p w14:paraId="1849A9A6" w14:textId="77777777" w:rsidR="0074250C" w:rsidRPr="004831AB" w:rsidRDefault="0074250C" w:rsidP="00B21DDC">
      <w:pPr>
        <w:pStyle w:val="ListParagraph"/>
        <w:numPr>
          <w:ilvl w:val="0"/>
          <w:numId w:val="33"/>
        </w:numPr>
        <w:tabs>
          <w:tab w:val="left" w:pos="1276"/>
        </w:tabs>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Унапређење пословног окружења; </w:t>
      </w:r>
    </w:p>
    <w:p w14:paraId="5CFE096A" w14:textId="77777777" w:rsidR="0074250C" w:rsidRPr="004831AB" w:rsidRDefault="0074250C" w:rsidP="00B21DDC">
      <w:pPr>
        <w:pStyle w:val="ListParagraph"/>
        <w:numPr>
          <w:ilvl w:val="0"/>
          <w:numId w:val="33"/>
        </w:numPr>
        <w:tabs>
          <w:tab w:val="left" w:pos="1276"/>
        </w:tabs>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Унапређење приступа изворима финансирања; </w:t>
      </w:r>
    </w:p>
    <w:p w14:paraId="18BC059F" w14:textId="77777777" w:rsidR="0074250C" w:rsidRPr="004831AB" w:rsidRDefault="0074250C" w:rsidP="00B21DDC">
      <w:pPr>
        <w:pStyle w:val="ListParagraph"/>
        <w:numPr>
          <w:ilvl w:val="0"/>
          <w:numId w:val="33"/>
        </w:numPr>
        <w:tabs>
          <w:tab w:val="left" w:pos="1276"/>
        </w:tabs>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Континуирани развој људских ресурса;  </w:t>
      </w:r>
    </w:p>
    <w:p w14:paraId="00305DA3" w14:textId="77777777" w:rsidR="0074250C" w:rsidRPr="004831AB" w:rsidRDefault="0074250C" w:rsidP="00B21DDC">
      <w:pPr>
        <w:pStyle w:val="ListParagraph"/>
        <w:numPr>
          <w:ilvl w:val="0"/>
          <w:numId w:val="33"/>
        </w:numPr>
        <w:tabs>
          <w:tab w:val="left" w:pos="1276"/>
        </w:tabs>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Јачање одрживости и конкурентности МСПП; </w:t>
      </w:r>
    </w:p>
    <w:p w14:paraId="5A84E485" w14:textId="03D8AB62" w:rsidR="0074250C" w:rsidRPr="004831AB" w:rsidRDefault="0074250C" w:rsidP="00B21DDC">
      <w:pPr>
        <w:pStyle w:val="ListParagraph"/>
        <w:numPr>
          <w:ilvl w:val="0"/>
          <w:numId w:val="33"/>
        </w:numPr>
        <w:tabs>
          <w:tab w:val="left" w:pos="1276"/>
        </w:tabs>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Унапр</w:t>
      </w:r>
      <w:r w:rsidR="00384C24" w:rsidRPr="004831AB">
        <w:rPr>
          <w:rFonts w:ascii="Times New Roman" w:hAnsi="Times New Roman" w:cs="Times New Roman"/>
          <w:sz w:val="24"/>
          <w:szCs w:val="24"/>
          <w:lang w:val="sr-Cyrl-CS"/>
        </w:rPr>
        <w:t>еђење приступа новим тржиштима;</w:t>
      </w:r>
      <w:r w:rsidRPr="004831AB">
        <w:rPr>
          <w:rFonts w:ascii="Times New Roman" w:hAnsi="Times New Roman" w:cs="Times New Roman"/>
          <w:sz w:val="24"/>
          <w:szCs w:val="24"/>
          <w:lang w:val="sr-Cyrl-CS"/>
        </w:rPr>
        <w:t xml:space="preserve"> </w:t>
      </w:r>
    </w:p>
    <w:p w14:paraId="373FA5E6" w14:textId="77777777" w:rsidR="0074250C" w:rsidRPr="004831AB" w:rsidRDefault="0074250C" w:rsidP="00B21DDC">
      <w:pPr>
        <w:pStyle w:val="ListParagraph"/>
        <w:numPr>
          <w:ilvl w:val="0"/>
          <w:numId w:val="33"/>
        </w:numPr>
        <w:tabs>
          <w:tab w:val="left" w:pos="1276"/>
        </w:tabs>
        <w:spacing w:after="120"/>
        <w:ind w:left="0" w:firstLine="851"/>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Развој и промоција предузетничког духа и подстицање предузетништва жена, младих и социјалног предузетништва. </w:t>
      </w:r>
    </w:p>
    <w:p w14:paraId="0A6B9382" w14:textId="53DE7B93" w:rsidR="007B6CF8" w:rsidRPr="004831AB" w:rsidRDefault="002A1CEC" w:rsidP="002906FF">
      <w:pPr>
        <w:spacing w:after="120"/>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Укупно је Акционим планом за спровођење Стратегије МСПП формулисано 224 активности. Од укупног броја активности у периоду 2015-2020. године, у </w:t>
      </w:r>
      <w:r w:rsidR="00611981" w:rsidRPr="004831AB">
        <w:rPr>
          <w:rFonts w:ascii="Times New Roman" w:hAnsi="Times New Roman" w:cs="Times New Roman"/>
          <w:sz w:val="24"/>
          <w:szCs w:val="24"/>
          <w:lang w:val="sr-Cyrl-CS"/>
        </w:rPr>
        <w:t xml:space="preserve">целости и делимично спроведено је 193 активности односно 86,2%,  </w:t>
      </w:r>
      <w:r w:rsidRPr="004831AB">
        <w:rPr>
          <w:rFonts w:ascii="Times New Roman" w:hAnsi="Times New Roman" w:cs="Times New Roman"/>
          <w:sz w:val="24"/>
          <w:szCs w:val="24"/>
          <w:lang w:val="sr-Cyrl-CS"/>
        </w:rPr>
        <w:t xml:space="preserve">30 односно 13,4% није спроведено, док за једну активност нема података. </w:t>
      </w:r>
      <w:r w:rsidR="00611981" w:rsidRPr="004831AB">
        <w:rPr>
          <w:rFonts w:ascii="Times New Roman" w:hAnsi="Times New Roman" w:cs="Times New Roman"/>
          <w:sz w:val="24"/>
          <w:szCs w:val="24"/>
          <w:lang w:val="sr-Cyrl-CS"/>
        </w:rPr>
        <w:t xml:space="preserve">Имајући у виду да се имплементација Стратегије МСПП скоро </w:t>
      </w:r>
      <w:r w:rsidR="00CB585A" w:rsidRPr="004831AB">
        <w:rPr>
          <w:rFonts w:ascii="Times New Roman" w:hAnsi="Times New Roman" w:cs="Times New Roman"/>
          <w:sz w:val="24"/>
          <w:szCs w:val="24"/>
          <w:lang w:val="sr-Cyrl-CS"/>
        </w:rPr>
        <w:t>целу</w:t>
      </w:r>
      <w:r w:rsidR="00611981" w:rsidRPr="004831AB">
        <w:rPr>
          <w:rFonts w:ascii="Times New Roman" w:hAnsi="Times New Roman" w:cs="Times New Roman"/>
          <w:sz w:val="24"/>
          <w:szCs w:val="24"/>
          <w:lang w:val="sr-Cyrl-CS"/>
        </w:rPr>
        <w:t xml:space="preserve"> 2020. годину одвијала у нерегуларним условима, под утицајем последица пандемије COVID-19, може се приметити да</w:t>
      </w:r>
      <w:r w:rsidR="00AF3E45" w:rsidRPr="004831AB">
        <w:rPr>
          <w:rFonts w:ascii="Times New Roman" w:hAnsi="Times New Roman" w:cs="Times New Roman"/>
          <w:sz w:val="24"/>
          <w:szCs w:val="24"/>
          <w:lang w:val="sr-Cyrl-CS"/>
        </w:rPr>
        <w:t xml:space="preserve"> су</w:t>
      </w:r>
      <w:r w:rsidR="00611981" w:rsidRPr="004831AB">
        <w:rPr>
          <w:rFonts w:ascii="Times New Roman" w:hAnsi="Times New Roman" w:cs="Times New Roman"/>
          <w:sz w:val="24"/>
          <w:szCs w:val="24"/>
          <w:lang w:val="sr-Cyrl-CS"/>
        </w:rPr>
        <w:t xml:space="preserve"> остварени значајни резултати. </w:t>
      </w:r>
      <w:r w:rsidRPr="004831AB">
        <w:rPr>
          <w:rFonts w:ascii="Times New Roman" w:hAnsi="Times New Roman" w:cs="Times New Roman"/>
          <w:sz w:val="24"/>
          <w:szCs w:val="24"/>
          <w:lang w:val="sr-Cyrl-CS"/>
        </w:rPr>
        <w:t>У наредној табели (</w:t>
      </w:r>
      <w:r w:rsidRPr="004831AB">
        <w:rPr>
          <w:rFonts w:ascii="Times New Roman" w:hAnsi="Times New Roman" w:cs="Times New Roman"/>
          <w:sz w:val="24"/>
          <w:szCs w:val="24"/>
          <w:lang w:val="sr-Cyrl-CS"/>
        </w:rPr>
        <w:fldChar w:fldCharType="begin"/>
      </w:r>
      <w:r w:rsidRPr="004831AB">
        <w:rPr>
          <w:rFonts w:ascii="Times New Roman" w:hAnsi="Times New Roman" w:cs="Times New Roman"/>
          <w:sz w:val="24"/>
          <w:szCs w:val="24"/>
          <w:lang w:val="sr-Cyrl-CS"/>
        </w:rPr>
        <w:instrText xml:space="preserve"> REF _Ref103807023 \h  \* MERGEFORMAT </w:instrText>
      </w:r>
      <w:r w:rsidRPr="004831AB">
        <w:rPr>
          <w:rFonts w:ascii="Times New Roman" w:hAnsi="Times New Roman" w:cs="Times New Roman"/>
          <w:sz w:val="24"/>
          <w:szCs w:val="24"/>
          <w:lang w:val="sr-Cyrl-CS"/>
        </w:rPr>
      </w:r>
      <w:r w:rsidRPr="004831AB">
        <w:rPr>
          <w:rFonts w:ascii="Times New Roman" w:hAnsi="Times New Roman" w:cs="Times New Roman"/>
          <w:sz w:val="24"/>
          <w:szCs w:val="24"/>
          <w:lang w:val="sr-Cyrl-CS"/>
        </w:rPr>
        <w:fldChar w:fldCharType="separate"/>
      </w:r>
      <w:r w:rsidR="00923182" w:rsidRPr="00923182">
        <w:rPr>
          <w:rFonts w:ascii="Times New Roman" w:hAnsi="Times New Roman" w:cs="Times New Roman"/>
          <w:sz w:val="24"/>
          <w:szCs w:val="24"/>
          <w:lang w:val="sr-Cyrl-CS"/>
        </w:rPr>
        <w:t>Табела</w:t>
      </w:r>
      <w:r w:rsidRPr="004831AB">
        <w:rPr>
          <w:rFonts w:ascii="Times New Roman" w:hAnsi="Times New Roman" w:cs="Times New Roman"/>
          <w:sz w:val="24"/>
          <w:szCs w:val="24"/>
          <w:lang w:val="sr-Cyrl-CS"/>
        </w:rPr>
        <w:fldChar w:fldCharType="end"/>
      </w:r>
      <w:r w:rsidR="00FF3B8A">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2) дат је приказ имплементације активности према сваком стубу Акционог плана.</w:t>
      </w:r>
    </w:p>
    <w:p w14:paraId="78D15D3C" w14:textId="77777777" w:rsidR="002A1CEC" w:rsidRPr="004831AB" w:rsidRDefault="002A1CEC" w:rsidP="00237903">
      <w:pPr>
        <w:keepNext/>
        <w:spacing w:after="200"/>
        <w:rPr>
          <w:rFonts w:eastAsia="Calibri" w:cs="Times New Roman"/>
          <w:smallCaps/>
          <w:color w:val="000000"/>
          <w:lang w:val="sr-Cyrl-CS"/>
        </w:rPr>
      </w:pPr>
      <w:bookmarkStart w:id="2" w:name="_Ref103807023"/>
      <w:bookmarkStart w:id="3" w:name="_Ref103890322"/>
      <w:bookmarkStart w:id="4" w:name="_Toc104201392"/>
      <w:r w:rsidRPr="004831AB">
        <w:rPr>
          <w:rFonts w:ascii="Times New Roman" w:eastAsia="Calibri" w:hAnsi="Times New Roman" w:cs="Times New Roman"/>
          <w:iCs/>
          <w:smallCaps/>
          <w:color w:val="000000"/>
          <w:lang w:val="sr-Cyrl-CS"/>
        </w:rPr>
        <w:t>Табела</w:t>
      </w:r>
      <w:bookmarkEnd w:id="2"/>
      <w:r w:rsidR="00611981" w:rsidRPr="004831AB">
        <w:rPr>
          <w:rFonts w:ascii="Times New Roman" w:eastAsia="Calibri" w:hAnsi="Times New Roman" w:cs="Times New Roman"/>
          <w:iCs/>
          <w:smallCaps/>
          <w:color w:val="000000"/>
          <w:lang w:val="sr-Cyrl-CS"/>
        </w:rPr>
        <w:t xml:space="preserve"> 2</w:t>
      </w:r>
      <w:r w:rsidRPr="004831AB">
        <w:rPr>
          <w:rFonts w:ascii="Times New Roman" w:eastAsia="Calibri" w:hAnsi="Times New Roman" w:cs="Times New Roman"/>
          <w:iCs/>
          <w:smallCaps/>
          <w:color w:val="000000"/>
          <w:lang w:val="sr-Cyrl-CS"/>
        </w:rPr>
        <w:t>: Преглед реализације активности по стубовима у периоду 2015-2020. године</w:t>
      </w:r>
      <w:bookmarkEnd w:id="3"/>
      <w:bookmarkEnd w:id="4"/>
    </w:p>
    <w:tbl>
      <w:tblPr>
        <w:tblW w:w="0" w:type="auto"/>
        <w:tblLayout w:type="fixed"/>
        <w:tblLook w:val="06A0" w:firstRow="1" w:lastRow="0" w:firstColumn="1" w:lastColumn="0" w:noHBand="1" w:noVBand="1"/>
      </w:tblPr>
      <w:tblGrid>
        <w:gridCol w:w="1030"/>
        <w:gridCol w:w="615"/>
        <w:gridCol w:w="773"/>
        <w:gridCol w:w="601"/>
        <w:gridCol w:w="944"/>
        <w:gridCol w:w="873"/>
        <w:gridCol w:w="1030"/>
        <w:gridCol w:w="658"/>
        <w:gridCol w:w="944"/>
        <w:gridCol w:w="773"/>
        <w:gridCol w:w="773"/>
      </w:tblGrid>
      <w:tr w:rsidR="002A1CEC" w:rsidRPr="004831AB" w14:paraId="73250596" w14:textId="77777777" w:rsidTr="00D0635A">
        <w:tc>
          <w:tcPr>
            <w:tcW w:w="1030" w:type="dxa"/>
            <w:tcBorders>
              <w:top w:val="single" w:sz="8" w:space="0" w:color="auto"/>
              <w:left w:val="nil"/>
              <w:bottom w:val="single" w:sz="8" w:space="0" w:color="auto"/>
              <w:right w:val="nil"/>
            </w:tcBorders>
            <w:shd w:val="clear" w:color="auto" w:fill="D9D9D9" w:themeFill="background1" w:themeFillShade="D9"/>
            <w:vAlign w:val="center"/>
          </w:tcPr>
          <w:p w14:paraId="12F2ADC0"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 xml:space="preserve"> </w:t>
            </w:r>
          </w:p>
        </w:tc>
        <w:tc>
          <w:tcPr>
            <w:tcW w:w="1388" w:type="dxa"/>
            <w:gridSpan w:val="2"/>
            <w:tcBorders>
              <w:top w:val="single" w:sz="8" w:space="0" w:color="auto"/>
              <w:left w:val="nil"/>
              <w:bottom w:val="single" w:sz="8" w:space="0" w:color="auto"/>
              <w:right w:val="nil"/>
            </w:tcBorders>
            <w:shd w:val="clear" w:color="auto" w:fill="D9D9D9" w:themeFill="background1" w:themeFillShade="D9"/>
            <w:vAlign w:val="center"/>
          </w:tcPr>
          <w:p w14:paraId="03006869"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Укупно активности</w:t>
            </w:r>
          </w:p>
        </w:tc>
        <w:tc>
          <w:tcPr>
            <w:tcW w:w="1545" w:type="dxa"/>
            <w:gridSpan w:val="2"/>
            <w:tcBorders>
              <w:top w:val="single" w:sz="8" w:space="0" w:color="auto"/>
              <w:left w:val="nil"/>
              <w:bottom w:val="single" w:sz="8" w:space="0" w:color="auto"/>
              <w:right w:val="nil"/>
            </w:tcBorders>
            <w:shd w:val="clear" w:color="auto" w:fill="D9D9D9" w:themeFill="background1" w:themeFillShade="D9"/>
            <w:vAlign w:val="center"/>
          </w:tcPr>
          <w:p w14:paraId="41B22676"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Реализоване</w:t>
            </w:r>
          </w:p>
        </w:tc>
        <w:tc>
          <w:tcPr>
            <w:tcW w:w="1903" w:type="dxa"/>
            <w:gridSpan w:val="2"/>
            <w:tcBorders>
              <w:top w:val="single" w:sz="8" w:space="0" w:color="auto"/>
              <w:left w:val="nil"/>
              <w:bottom w:val="single" w:sz="8" w:space="0" w:color="auto"/>
              <w:right w:val="nil"/>
            </w:tcBorders>
            <w:shd w:val="clear" w:color="auto" w:fill="D9D9D9" w:themeFill="background1" w:themeFillShade="D9"/>
            <w:vAlign w:val="center"/>
          </w:tcPr>
          <w:p w14:paraId="6A7A5E0D"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Делимично реализоване</w:t>
            </w:r>
          </w:p>
        </w:tc>
        <w:tc>
          <w:tcPr>
            <w:tcW w:w="1602" w:type="dxa"/>
            <w:gridSpan w:val="2"/>
            <w:tcBorders>
              <w:top w:val="single" w:sz="8" w:space="0" w:color="auto"/>
              <w:left w:val="nil"/>
              <w:bottom w:val="single" w:sz="8" w:space="0" w:color="auto"/>
              <w:right w:val="nil"/>
            </w:tcBorders>
            <w:shd w:val="clear" w:color="auto" w:fill="D9D9D9" w:themeFill="background1" w:themeFillShade="D9"/>
          </w:tcPr>
          <w:p w14:paraId="7376F9C1"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Нису реализоване</w:t>
            </w:r>
          </w:p>
        </w:tc>
        <w:tc>
          <w:tcPr>
            <w:tcW w:w="1546" w:type="dxa"/>
            <w:gridSpan w:val="2"/>
            <w:tcBorders>
              <w:top w:val="single" w:sz="8" w:space="0" w:color="auto"/>
              <w:left w:val="nil"/>
              <w:bottom w:val="single" w:sz="8" w:space="0" w:color="auto"/>
              <w:right w:val="nil"/>
            </w:tcBorders>
            <w:shd w:val="clear" w:color="auto" w:fill="D9D9D9" w:themeFill="background1" w:themeFillShade="D9"/>
            <w:vAlign w:val="center"/>
          </w:tcPr>
          <w:p w14:paraId="36584392"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Нема података</w:t>
            </w:r>
          </w:p>
        </w:tc>
      </w:tr>
      <w:tr w:rsidR="002A1CEC" w:rsidRPr="004831AB" w14:paraId="0CCA8768" w14:textId="77777777" w:rsidTr="00D0635A">
        <w:tc>
          <w:tcPr>
            <w:tcW w:w="1030" w:type="dxa"/>
            <w:tcBorders>
              <w:top w:val="single" w:sz="8" w:space="0" w:color="auto"/>
              <w:left w:val="nil"/>
              <w:bottom w:val="nil"/>
              <w:right w:val="nil"/>
            </w:tcBorders>
            <w:vAlign w:val="center"/>
          </w:tcPr>
          <w:p w14:paraId="6E544B9E"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lastRenderedPageBreak/>
              <w:t>Стуб 1</w:t>
            </w:r>
          </w:p>
        </w:tc>
        <w:tc>
          <w:tcPr>
            <w:tcW w:w="615" w:type="dxa"/>
            <w:tcBorders>
              <w:top w:val="single" w:sz="8" w:space="0" w:color="auto"/>
              <w:left w:val="nil"/>
              <w:bottom w:val="nil"/>
              <w:right w:val="nil"/>
            </w:tcBorders>
            <w:vAlign w:val="center"/>
          </w:tcPr>
          <w:p w14:paraId="32E5DD9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75</w:t>
            </w:r>
          </w:p>
        </w:tc>
        <w:tc>
          <w:tcPr>
            <w:tcW w:w="773" w:type="dxa"/>
            <w:tcBorders>
              <w:top w:val="nil"/>
              <w:left w:val="nil"/>
              <w:bottom w:val="nil"/>
              <w:right w:val="nil"/>
            </w:tcBorders>
          </w:tcPr>
          <w:p w14:paraId="3773BB8F"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tcBorders>
              <w:top w:val="single" w:sz="8" w:space="0" w:color="auto"/>
              <w:left w:val="nil"/>
              <w:bottom w:val="nil"/>
              <w:right w:val="nil"/>
            </w:tcBorders>
            <w:vAlign w:val="center"/>
          </w:tcPr>
          <w:p w14:paraId="6DEF298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53</w:t>
            </w:r>
          </w:p>
        </w:tc>
        <w:tc>
          <w:tcPr>
            <w:tcW w:w="944" w:type="dxa"/>
            <w:tcBorders>
              <w:top w:val="nil"/>
              <w:left w:val="nil"/>
              <w:bottom w:val="nil"/>
              <w:right w:val="nil"/>
            </w:tcBorders>
          </w:tcPr>
          <w:p w14:paraId="0B18EBF3"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70,7%</w:t>
            </w:r>
          </w:p>
        </w:tc>
        <w:tc>
          <w:tcPr>
            <w:tcW w:w="873" w:type="dxa"/>
            <w:tcBorders>
              <w:top w:val="single" w:sz="8" w:space="0" w:color="auto"/>
              <w:left w:val="nil"/>
              <w:bottom w:val="nil"/>
              <w:right w:val="nil"/>
            </w:tcBorders>
            <w:vAlign w:val="center"/>
          </w:tcPr>
          <w:p w14:paraId="56207CE7"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16</w:t>
            </w:r>
          </w:p>
        </w:tc>
        <w:tc>
          <w:tcPr>
            <w:tcW w:w="1030" w:type="dxa"/>
            <w:tcBorders>
              <w:top w:val="nil"/>
              <w:left w:val="nil"/>
              <w:bottom w:val="nil"/>
              <w:right w:val="nil"/>
            </w:tcBorders>
          </w:tcPr>
          <w:p w14:paraId="37648987"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21,3%</w:t>
            </w:r>
          </w:p>
        </w:tc>
        <w:tc>
          <w:tcPr>
            <w:tcW w:w="658" w:type="dxa"/>
            <w:tcBorders>
              <w:top w:val="single" w:sz="8" w:space="0" w:color="auto"/>
              <w:left w:val="nil"/>
              <w:bottom w:val="nil"/>
              <w:right w:val="nil"/>
            </w:tcBorders>
          </w:tcPr>
          <w:p w14:paraId="26FCD131"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5</w:t>
            </w:r>
          </w:p>
        </w:tc>
        <w:tc>
          <w:tcPr>
            <w:tcW w:w="944" w:type="dxa"/>
            <w:tcBorders>
              <w:top w:val="nil"/>
              <w:left w:val="nil"/>
              <w:bottom w:val="nil"/>
              <w:right w:val="nil"/>
            </w:tcBorders>
          </w:tcPr>
          <w:p w14:paraId="4BF213C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6,7%</w:t>
            </w:r>
          </w:p>
        </w:tc>
        <w:tc>
          <w:tcPr>
            <w:tcW w:w="773" w:type="dxa"/>
            <w:tcBorders>
              <w:top w:val="single" w:sz="8" w:space="0" w:color="auto"/>
              <w:left w:val="nil"/>
              <w:bottom w:val="nil"/>
              <w:right w:val="nil"/>
            </w:tcBorders>
            <w:vAlign w:val="center"/>
          </w:tcPr>
          <w:p w14:paraId="20ED7E01"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w:t>
            </w:r>
          </w:p>
        </w:tc>
        <w:tc>
          <w:tcPr>
            <w:tcW w:w="773" w:type="dxa"/>
            <w:tcBorders>
              <w:top w:val="nil"/>
              <w:left w:val="nil"/>
              <w:bottom w:val="nil"/>
              <w:right w:val="nil"/>
            </w:tcBorders>
          </w:tcPr>
          <w:p w14:paraId="5207B57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1,3%</w:t>
            </w:r>
          </w:p>
        </w:tc>
      </w:tr>
      <w:tr w:rsidR="002A1CEC" w:rsidRPr="004831AB" w14:paraId="330B50B1" w14:textId="77777777" w:rsidTr="00D0635A">
        <w:tc>
          <w:tcPr>
            <w:tcW w:w="1030" w:type="dxa"/>
            <w:vAlign w:val="center"/>
          </w:tcPr>
          <w:p w14:paraId="50B95215"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Стуб 2</w:t>
            </w:r>
          </w:p>
        </w:tc>
        <w:tc>
          <w:tcPr>
            <w:tcW w:w="615" w:type="dxa"/>
            <w:vAlign w:val="center"/>
          </w:tcPr>
          <w:p w14:paraId="708EDD65"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28</w:t>
            </w:r>
          </w:p>
        </w:tc>
        <w:tc>
          <w:tcPr>
            <w:tcW w:w="773" w:type="dxa"/>
          </w:tcPr>
          <w:p w14:paraId="33D06FD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vAlign w:val="center"/>
          </w:tcPr>
          <w:p w14:paraId="5E605B0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22</w:t>
            </w:r>
          </w:p>
        </w:tc>
        <w:tc>
          <w:tcPr>
            <w:tcW w:w="944" w:type="dxa"/>
          </w:tcPr>
          <w:p w14:paraId="319040E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78,6%</w:t>
            </w:r>
          </w:p>
        </w:tc>
        <w:tc>
          <w:tcPr>
            <w:tcW w:w="873" w:type="dxa"/>
            <w:vAlign w:val="center"/>
          </w:tcPr>
          <w:p w14:paraId="0615D9D3"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3</w:t>
            </w:r>
          </w:p>
        </w:tc>
        <w:tc>
          <w:tcPr>
            <w:tcW w:w="1030" w:type="dxa"/>
          </w:tcPr>
          <w:p w14:paraId="0F521E37"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10,7%</w:t>
            </w:r>
          </w:p>
        </w:tc>
        <w:tc>
          <w:tcPr>
            <w:tcW w:w="658" w:type="dxa"/>
          </w:tcPr>
          <w:p w14:paraId="5C5DDE0C"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3</w:t>
            </w:r>
          </w:p>
        </w:tc>
        <w:tc>
          <w:tcPr>
            <w:tcW w:w="944" w:type="dxa"/>
          </w:tcPr>
          <w:p w14:paraId="181C69CC"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10,7%</w:t>
            </w:r>
          </w:p>
        </w:tc>
        <w:tc>
          <w:tcPr>
            <w:tcW w:w="773" w:type="dxa"/>
            <w:vAlign w:val="center"/>
          </w:tcPr>
          <w:p w14:paraId="15137F1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c>
          <w:tcPr>
            <w:tcW w:w="773" w:type="dxa"/>
          </w:tcPr>
          <w:p w14:paraId="28006ABB"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r>
      <w:tr w:rsidR="002A1CEC" w:rsidRPr="004831AB" w14:paraId="721F3DB5" w14:textId="77777777" w:rsidTr="00D0635A">
        <w:tc>
          <w:tcPr>
            <w:tcW w:w="1030" w:type="dxa"/>
            <w:vAlign w:val="center"/>
          </w:tcPr>
          <w:p w14:paraId="54235816"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Стуб 3</w:t>
            </w:r>
          </w:p>
        </w:tc>
        <w:tc>
          <w:tcPr>
            <w:tcW w:w="615" w:type="dxa"/>
            <w:vAlign w:val="center"/>
          </w:tcPr>
          <w:p w14:paraId="6AF73043"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16</w:t>
            </w:r>
          </w:p>
        </w:tc>
        <w:tc>
          <w:tcPr>
            <w:tcW w:w="773" w:type="dxa"/>
          </w:tcPr>
          <w:p w14:paraId="2803663D"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vAlign w:val="center"/>
          </w:tcPr>
          <w:p w14:paraId="2575FB38"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13</w:t>
            </w:r>
          </w:p>
        </w:tc>
        <w:tc>
          <w:tcPr>
            <w:tcW w:w="944" w:type="dxa"/>
          </w:tcPr>
          <w:p w14:paraId="3A334AA4"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81,3%</w:t>
            </w:r>
          </w:p>
        </w:tc>
        <w:tc>
          <w:tcPr>
            <w:tcW w:w="873" w:type="dxa"/>
            <w:vAlign w:val="center"/>
          </w:tcPr>
          <w:p w14:paraId="5CC3515D"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w:t>
            </w:r>
          </w:p>
        </w:tc>
        <w:tc>
          <w:tcPr>
            <w:tcW w:w="1030" w:type="dxa"/>
          </w:tcPr>
          <w:p w14:paraId="4C154A2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12,5%</w:t>
            </w:r>
          </w:p>
        </w:tc>
        <w:tc>
          <w:tcPr>
            <w:tcW w:w="658" w:type="dxa"/>
          </w:tcPr>
          <w:p w14:paraId="67CBA80A"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w:t>
            </w:r>
          </w:p>
        </w:tc>
        <w:tc>
          <w:tcPr>
            <w:tcW w:w="944" w:type="dxa"/>
          </w:tcPr>
          <w:p w14:paraId="0AFA85F7"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6,2%</w:t>
            </w:r>
          </w:p>
        </w:tc>
        <w:tc>
          <w:tcPr>
            <w:tcW w:w="773" w:type="dxa"/>
            <w:vAlign w:val="center"/>
          </w:tcPr>
          <w:p w14:paraId="47F211A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c>
          <w:tcPr>
            <w:tcW w:w="773" w:type="dxa"/>
          </w:tcPr>
          <w:p w14:paraId="2C9BDAA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r>
      <w:tr w:rsidR="002A1CEC" w:rsidRPr="004831AB" w14:paraId="55388242" w14:textId="77777777" w:rsidTr="00D0635A">
        <w:tc>
          <w:tcPr>
            <w:tcW w:w="1030" w:type="dxa"/>
            <w:vAlign w:val="center"/>
          </w:tcPr>
          <w:p w14:paraId="338F462F"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Стуб 4</w:t>
            </w:r>
          </w:p>
        </w:tc>
        <w:tc>
          <w:tcPr>
            <w:tcW w:w="615" w:type="dxa"/>
            <w:vAlign w:val="center"/>
          </w:tcPr>
          <w:p w14:paraId="1A84559D"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50</w:t>
            </w:r>
          </w:p>
        </w:tc>
        <w:tc>
          <w:tcPr>
            <w:tcW w:w="773" w:type="dxa"/>
          </w:tcPr>
          <w:p w14:paraId="61D5280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vAlign w:val="center"/>
          </w:tcPr>
          <w:p w14:paraId="496D4CAA"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30</w:t>
            </w:r>
          </w:p>
        </w:tc>
        <w:tc>
          <w:tcPr>
            <w:tcW w:w="944" w:type="dxa"/>
          </w:tcPr>
          <w:p w14:paraId="0122F179"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60%</w:t>
            </w:r>
          </w:p>
        </w:tc>
        <w:tc>
          <w:tcPr>
            <w:tcW w:w="873" w:type="dxa"/>
            <w:vAlign w:val="center"/>
          </w:tcPr>
          <w:p w14:paraId="34966F0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w:t>
            </w:r>
          </w:p>
        </w:tc>
        <w:tc>
          <w:tcPr>
            <w:tcW w:w="1030" w:type="dxa"/>
          </w:tcPr>
          <w:p w14:paraId="0A2DF84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20%</w:t>
            </w:r>
          </w:p>
        </w:tc>
        <w:tc>
          <w:tcPr>
            <w:tcW w:w="658" w:type="dxa"/>
          </w:tcPr>
          <w:p w14:paraId="209A5229"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w:t>
            </w:r>
          </w:p>
        </w:tc>
        <w:tc>
          <w:tcPr>
            <w:tcW w:w="944" w:type="dxa"/>
          </w:tcPr>
          <w:p w14:paraId="5B4EBDFB"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20%</w:t>
            </w:r>
          </w:p>
        </w:tc>
        <w:tc>
          <w:tcPr>
            <w:tcW w:w="773" w:type="dxa"/>
            <w:vAlign w:val="center"/>
          </w:tcPr>
          <w:p w14:paraId="76DB288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c>
          <w:tcPr>
            <w:tcW w:w="773" w:type="dxa"/>
          </w:tcPr>
          <w:p w14:paraId="50AE993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r>
      <w:tr w:rsidR="002A1CEC" w:rsidRPr="004831AB" w14:paraId="5CC5DBAD" w14:textId="77777777" w:rsidTr="00D0635A">
        <w:tc>
          <w:tcPr>
            <w:tcW w:w="1030" w:type="dxa"/>
            <w:vAlign w:val="center"/>
          </w:tcPr>
          <w:p w14:paraId="73EA0F6A"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Стуб 5</w:t>
            </w:r>
          </w:p>
        </w:tc>
        <w:tc>
          <w:tcPr>
            <w:tcW w:w="615" w:type="dxa"/>
            <w:vAlign w:val="center"/>
          </w:tcPr>
          <w:p w14:paraId="755E55DB"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35</w:t>
            </w:r>
          </w:p>
        </w:tc>
        <w:tc>
          <w:tcPr>
            <w:tcW w:w="773" w:type="dxa"/>
          </w:tcPr>
          <w:p w14:paraId="3F10B89B"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vAlign w:val="center"/>
          </w:tcPr>
          <w:p w14:paraId="7F86EA7F"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27</w:t>
            </w:r>
          </w:p>
        </w:tc>
        <w:tc>
          <w:tcPr>
            <w:tcW w:w="944" w:type="dxa"/>
          </w:tcPr>
          <w:p w14:paraId="75DF025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77,1%</w:t>
            </w:r>
          </w:p>
        </w:tc>
        <w:tc>
          <w:tcPr>
            <w:tcW w:w="873" w:type="dxa"/>
            <w:vAlign w:val="center"/>
          </w:tcPr>
          <w:p w14:paraId="0768EB1E"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5</w:t>
            </w:r>
          </w:p>
        </w:tc>
        <w:tc>
          <w:tcPr>
            <w:tcW w:w="1030" w:type="dxa"/>
          </w:tcPr>
          <w:p w14:paraId="5F10A3F4"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14,3%</w:t>
            </w:r>
          </w:p>
        </w:tc>
        <w:tc>
          <w:tcPr>
            <w:tcW w:w="658" w:type="dxa"/>
          </w:tcPr>
          <w:p w14:paraId="1C6EC17A"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3</w:t>
            </w:r>
          </w:p>
        </w:tc>
        <w:tc>
          <w:tcPr>
            <w:tcW w:w="944" w:type="dxa"/>
          </w:tcPr>
          <w:p w14:paraId="6001262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8,6%</w:t>
            </w:r>
          </w:p>
        </w:tc>
        <w:tc>
          <w:tcPr>
            <w:tcW w:w="773" w:type="dxa"/>
            <w:vAlign w:val="center"/>
          </w:tcPr>
          <w:p w14:paraId="2720C4C3"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w:t>
            </w:r>
          </w:p>
        </w:tc>
        <w:tc>
          <w:tcPr>
            <w:tcW w:w="773" w:type="dxa"/>
          </w:tcPr>
          <w:p w14:paraId="2F294196"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szCs w:val="20"/>
                <w:lang w:val="sr-Cyrl-CS"/>
              </w:rPr>
              <w:t xml:space="preserve">        -</w:t>
            </w:r>
          </w:p>
        </w:tc>
      </w:tr>
      <w:tr w:rsidR="002A1CEC" w:rsidRPr="004831AB" w14:paraId="7DC4B7A7" w14:textId="77777777" w:rsidTr="00D0635A">
        <w:tc>
          <w:tcPr>
            <w:tcW w:w="1030" w:type="dxa"/>
            <w:tcBorders>
              <w:left w:val="nil"/>
              <w:bottom w:val="single" w:sz="8" w:space="0" w:color="auto"/>
              <w:right w:val="nil"/>
            </w:tcBorders>
            <w:vAlign w:val="center"/>
          </w:tcPr>
          <w:p w14:paraId="2D8960ED"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Стуб 6</w:t>
            </w:r>
          </w:p>
        </w:tc>
        <w:tc>
          <w:tcPr>
            <w:tcW w:w="615" w:type="dxa"/>
            <w:tcBorders>
              <w:left w:val="nil"/>
              <w:bottom w:val="single" w:sz="8" w:space="0" w:color="auto"/>
              <w:right w:val="nil"/>
            </w:tcBorders>
            <w:vAlign w:val="center"/>
          </w:tcPr>
          <w:p w14:paraId="0A583F37"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20</w:t>
            </w:r>
          </w:p>
        </w:tc>
        <w:tc>
          <w:tcPr>
            <w:tcW w:w="773" w:type="dxa"/>
            <w:tcBorders>
              <w:left w:val="nil"/>
              <w:bottom w:val="single" w:sz="8" w:space="0" w:color="auto"/>
              <w:right w:val="nil"/>
            </w:tcBorders>
          </w:tcPr>
          <w:p w14:paraId="767DCFA8"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100%</w:t>
            </w:r>
          </w:p>
        </w:tc>
        <w:tc>
          <w:tcPr>
            <w:tcW w:w="601" w:type="dxa"/>
            <w:tcBorders>
              <w:left w:val="nil"/>
              <w:bottom w:val="single" w:sz="8" w:space="0" w:color="auto"/>
              <w:right w:val="nil"/>
            </w:tcBorders>
            <w:vAlign w:val="center"/>
          </w:tcPr>
          <w:p w14:paraId="53946674"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8</w:t>
            </w:r>
          </w:p>
        </w:tc>
        <w:tc>
          <w:tcPr>
            <w:tcW w:w="944" w:type="dxa"/>
            <w:tcBorders>
              <w:left w:val="nil"/>
              <w:bottom w:val="single" w:sz="8" w:space="0" w:color="auto"/>
              <w:right w:val="nil"/>
            </w:tcBorders>
          </w:tcPr>
          <w:p w14:paraId="7F2B44E2"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40%</w:t>
            </w:r>
          </w:p>
        </w:tc>
        <w:tc>
          <w:tcPr>
            <w:tcW w:w="873" w:type="dxa"/>
            <w:tcBorders>
              <w:left w:val="nil"/>
              <w:bottom w:val="single" w:sz="8" w:space="0" w:color="auto"/>
              <w:right w:val="nil"/>
            </w:tcBorders>
            <w:vAlign w:val="center"/>
          </w:tcPr>
          <w:p w14:paraId="39FE7CA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4</w:t>
            </w:r>
          </w:p>
        </w:tc>
        <w:tc>
          <w:tcPr>
            <w:tcW w:w="1030" w:type="dxa"/>
            <w:tcBorders>
              <w:left w:val="nil"/>
              <w:bottom w:val="single" w:sz="8" w:space="0" w:color="auto"/>
              <w:right w:val="nil"/>
            </w:tcBorders>
          </w:tcPr>
          <w:p w14:paraId="7300D188"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20%</w:t>
            </w:r>
          </w:p>
        </w:tc>
        <w:tc>
          <w:tcPr>
            <w:tcW w:w="658" w:type="dxa"/>
            <w:tcBorders>
              <w:left w:val="nil"/>
              <w:bottom w:val="single" w:sz="8" w:space="0" w:color="auto"/>
              <w:right w:val="nil"/>
            </w:tcBorders>
          </w:tcPr>
          <w:p w14:paraId="01733776"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8</w:t>
            </w:r>
          </w:p>
        </w:tc>
        <w:tc>
          <w:tcPr>
            <w:tcW w:w="944" w:type="dxa"/>
            <w:tcBorders>
              <w:left w:val="nil"/>
              <w:bottom w:val="single" w:sz="8" w:space="0" w:color="auto"/>
              <w:right w:val="nil"/>
            </w:tcBorders>
          </w:tcPr>
          <w:p w14:paraId="3C235075"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40%</w:t>
            </w:r>
          </w:p>
        </w:tc>
        <w:tc>
          <w:tcPr>
            <w:tcW w:w="773" w:type="dxa"/>
            <w:tcBorders>
              <w:left w:val="nil"/>
              <w:bottom w:val="single" w:sz="8" w:space="0" w:color="auto"/>
              <w:right w:val="nil"/>
            </w:tcBorders>
            <w:vAlign w:val="center"/>
          </w:tcPr>
          <w:p w14:paraId="31D260E3"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 xml:space="preserve"> </w:t>
            </w:r>
          </w:p>
        </w:tc>
        <w:tc>
          <w:tcPr>
            <w:tcW w:w="773" w:type="dxa"/>
            <w:tcBorders>
              <w:left w:val="nil"/>
              <w:bottom w:val="single" w:sz="8" w:space="0" w:color="auto"/>
              <w:right w:val="nil"/>
            </w:tcBorders>
          </w:tcPr>
          <w:p w14:paraId="6EDBB53C" w14:textId="77777777" w:rsidR="002A1CEC" w:rsidRPr="004831AB" w:rsidRDefault="002A1CEC" w:rsidP="00D0635A">
            <w:pPr>
              <w:jc w:val="right"/>
              <w:rPr>
                <w:rFonts w:ascii="Times New Roman" w:hAnsi="Times New Roman" w:cs="Times New Roman"/>
                <w:szCs w:val="20"/>
                <w:lang w:val="sr-Cyrl-CS"/>
              </w:rPr>
            </w:pPr>
            <w:r w:rsidRPr="004831AB">
              <w:rPr>
                <w:rFonts w:ascii="Times New Roman" w:eastAsia="Arial" w:hAnsi="Times New Roman" w:cs="Times New Roman"/>
                <w:szCs w:val="20"/>
                <w:lang w:val="sr-Cyrl-CS"/>
              </w:rPr>
              <w:t xml:space="preserve"> </w:t>
            </w:r>
          </w:p>
        </w:tc>
      </w:tr>
      <w:tr w:rsidR="002A1CEC" w:rsidRPr="004831AB" w14:paraId="6A9D0A29" w14:textId="77777777" w:rsidTr="00D0635A">
        <w:trPr>
          <w:trHeight w:val="255"/>
        </w:trPr>
        <w:tc>
          <w:tcPr>
            <w:tcW w:w="1030" w:type="dxa"/>
            <w:tcBorders>
              <w:top w:val="single" w:sz="8" w:space="0" w:color="auto"/>
              <w:left w:val="nil"/>
              <w:bottom w:val="single" w:sz="8" w:space="0" w:color="auto"/>
              <w:right w:val="nil"/>
            </w:tcBorders>
            <w:vAlign w:val="center"/>
          </w:tcPr>
          <w:p w14:paraId="7EC6816B"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укупно</w:t>
            </w:r>
          </w:p>
        </w:tc>
        <w:tc>
          <w:tcPr>
            <w:tcW w:w="615" w:type="dxa"/>
            <w:tcBorders>
              <w:top w:val="single" w:sz="8" w:space="0" w:color="auto"/>
              <w:left w:val="nil"/>
              <w:bottom w:val="single" w:sz="8" w:space="0" w:color="auto"/>
              <w:right w:val="nil"/>
            </w:tcBorders>
            <w:vAlign w:val="center"/>
          </w:tcPr>
          <w:p w14:paraId="205FDA89"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224</w:t>
            </w:r>
          </w:p>
        </w:tc>
        <w:tc>
          <w:tcPr>
            <w:tcW w:w="773" w:type="dxa"/>
            <w:tcBorders>
              <w:top w:val="single" w:sz="8" w:space="0" w:color="auto"/>
              <w:left w:val="nil"/>
              <w:bottom w:val="single" w:sz="8" w:space="0" w:color="auto"/>
              <w:right w:val="nil"/>
            </w:tcBorders>
          </w:tcPr>
          <w:p w14:paraId="184F8C91"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100%</w:t>
            </w:r>
          </w:p>
        </w:tc>
        <w:tc>
          <w:tcPr>
            <w:tcW w:w="601" w:type="dxa"/>
            <w:tcBorders>
              <w:top w:val="single" w:sz="8" w:space="0" w:color="auto"/>
              <w:left w:val="nil"/>
              <w:bottom w:val="single" w:sz="8" w:space="0" w:color="auto"/>
              <w:right w:val="nil"/>
            </w:tcBorders>
            <w:vAlign w:val="center"/>
          </w:tcPr>
          <w:p w14:paraId="3ED06580"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153</w:t>
            </w:r>
          </w:p>
        </w:tc>
        <w:tc>
          <w:tcPr>
            <w:tcW w:w="944" w:type="dxa"/>
            <w:tcBorders>
              <w:top w:val="single" w:sz="8" w:space="0" w:color="auto"/>
              <w:left w:val="nil"/>
              <w:bottom w:val="single" w:sz="8" w:space="0" w:color="auto"/>
              <w:right w:val="nil"/>
            </w:tcBorders>
          </w:tcPr>
          <w:p w14:paraId="5BD2BCA2"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68,3%</w:t>
            </w:r>
          </w:p>
        </w:tc>
        <w:tc>
          <w:tcPr>
            <w:tcW w:w="873" w:type="dxa"/>
            <w:tcBorders>
              <w:top w:val="single" w:sz="8" w:space="0" w:color="auto"/>
              <w:left w:val="nil"/>
              <w:bottom w:val="single" w:sz="8" w:space="0" w:color="auto"/>
              <w:right w:val="nil"/>
            </w:tcBorders>
            <w:vAlign w:val="center"/>
          </w:tcPr>
          <w:p w14:paraId="3E9B8A96"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40</w:t>
            </w:r>
          </w:p>
        </w:tc>
        <w:tc>
          <w:tcPr>
            <w:tcW w:w="1030" w:type="dxa"/>
            <w:tcBorders>
              <w:top w:val="single" w:sz="8" w:space="0" w:color="auto"/>
              <w:left w:val="nil"/>
              <w:bottom w:val="single" w:sz="8" w:space="0" w:color="auto"/>
              <w:right w:val="nil"/>
            </w:tcBorders>
          </w:tcPr>
          <w:p w14:paraId="7020805E"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17,9%</w:t>
            </w:r>
          </w:p>
        </w:tc>
        <w:tc>
          <w:tcPr>
            <w:tcW w:w="658" w:type="dxa"/>
            <w:tcBorders>
              <w:top w:val="single" w:sz="8" w:space="0" w:color="auto"/>
              <w:left w:val="nil"/>
              <w:bottom w:val="single" w:sz="8" w:space="0" w:color="auto"/>
              <w:right w:val="nil"/>
            </w:tcBorders>
          </w:tcPr>
          <w:p w14:paraId="29E99B39"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30</w:t>
            </w:r>
          </w:p>
        </w:tc>
        <w:tc>
          <w:tcPr>
            <w:tcW w:w="944" w:type="dxa"/>
            <w:tcBorders>
              <w:top w:val="single" w:sz="8" w:space="0" w:color="auto"/>
              <w:left w:val="nil"/>
              <w:bottom w:val="single" w:sz="8" w:space="0" w:color="auto"/>
              <w:right w:val="nil"/>
            </w:tcBorders>
          </w:tcPr>
          <w:p w14:paraId="01F4A3F7"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13,4%</w:t>
            </w:r>
          </w:p>
        </w:tc>
        <w:tc>
          <w:tcPr>
            <w:tcW w:w="773" w:type="dxa"/>
            <w:tcBorders>
              <w:top w:val="single" w:sz="8" w:space="0" w:color="auto"/>
              <w:left w:val="nil"/>
              <w:bottom w:val="single" w:sz="8" w:space="0" w:color="auto"/>
              <w:right w:val="nil"/>
            </w:tcBorders>
            <w:vAlign w:val="center"/>
          </w:tcPr>
          <w:p w14:paraId="2142EE6F"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1</w:t>
            </w:r>
          </w:p>
        </w:tc>
        <w:tc>
          <w:tcPr>
            <w:tcW w:w="773" w:type="dxa"/>
            <w:tcBorders>
              <w:top w:val="single" w:sz="8" w:space="0" w:color="auto"/>
              <w:left w:val="nil"/>
              <w:bottom w:val="single" w:sz="8" w:space="0" w:color="auto"/>
              <w:right w:val="nil"/>
            </w:tcBorders>
          </w:tcPr>
          <w:p w14:paraId="1FC1D88B" w14:textId="77777777" w:rsidR="002A1CEC" w:rsidRPr="004831AB" w:rsidRDefault="002A1CEC" w:rsidP="00D0635A">
            <w:pPr>
              <w:jc w:val="center"/>
              <w:rPr>
                <w:rFonts w:ascii="Times New Roman" w:hAnsi="Times New Roman" w:cs="Times New Roman"/>
                <w:szCs w:val="20"/>
                <w:lang w:val="sr-Cyrl-CS"/>
              </w:rPr>
            </w:pPr>
            <w:r w:rsidRPr="004831AB">
              <w:rPr>
                <w:rFonts w:ascii="Times New Roman" w:eastAsia="Arial" w:hAnsi="Times New Roman" w:cs="Times New Roman"/>
                <w:bCs/>
                <w:szCs w:val="20"/>
                <w:lang w:val="sr-Cyrl-CS"/>
              </w:rPr>
              <w:t>0,4%</w:t>
            </w:r>
          </w:p>
        </w:tc>
      </w:tr>
    </w:tbl>
    <w:p w14:paraId="259BB38B" w14:textId="77777777" w:rsidR="002A1CEC" w:rsidRPr="004831AB" w:rsidRDefault="002A1CEC" w:rsidP="00237903">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Извор: Министарство привреде [Извештај о спровођењу Стратегије]</w:t>
      </w:r>
    </w:p>
    <w:p w14:paraId="61439D82" w14:textId="77777777" w:rsidR="00611981" w:rsidRPr="004831AB" w:rsidRDefault="00611981" w:rsidP="009F36FE">
      <w:pPr>
        <w:spacing w:after="120"/>
        <w:ind w:firstLine="360"/>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 xml:space="preserve">Стратегијом МСПП дефинисана су три главна показатеља успешности: </w:t>
      </w:r>
    </w:p>
    <w:p w14:paraId="79FE5F09" w14:textId="77777777" w:rsidR="00611981" w:rsidRPr="004831AB" w:rsidRDefault="00611981" w:rsidP="00611981">
      <w:pPr>
        <w:numPr>
          <w:ilvl w:val="0"/>
          <w:numId w:val="34"/>
        </w:numPr>
        <w:spacing w:after="0" w:line="240" w:lineRule="auto"/>
        <w:contextualSpacing/>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 xml:space="preserve">укупан број МСПП, </w:t>
      </w:r>
    </w:p>
    <w:p w14:paraId="2E90E22B" w14:textId="77777777" w:rsidR="00611981" w:rsidRPr="004831AB" w:rsidRDefault="00611981" w:rsidP="00611981">
      <w:pPr>
        <w:numPr>
          <w:ilvl w:val="0"/>
          <w:numId w:val="34"/>
        </w:numPr>
        <w:spacing w:after="0" w:line="240" w:lineRule="auto"/>
        <w:contextualSpacing/>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 xml:space="preserve">укупан број запослених у МСПП и </w:t>
      </w:r>
    </w:p>
    <w:p w14:paraId="074155E1" w14:textId="77777777" w:rsidR="00611981" w:rsidRPr="004831AB" w:rsidRDefault="00611981" w:rsidP="00611981">
      <w:pPr>
        <w:pStyle w:val="ListParagraph"/>
        <w:numPr>
          <w:ilvl w:val="0"/>
          <w:numId w:val="34"/>
        </w:numPr>
        <w:spacing w:after="120"/>
        <w:jc w:val="both"/>
        <w:rPr>
          <w:rFonts w:ascii="Times New Roman" w:eastAsia="Calibri" w:hAnsi="Times New Roman" w:cs="Times New Roman"/>
          <w:sz w:val="24"/>
          <w:szCs w:val="24"/>
          <w:lang w:val="sr-Cyrl-CS"/>
        </w:rPr>
      </w:pPr>
      <w:r w:rsidRPr="004831AB">
        <w:rPr>
          <w:rFonts w:ascii="Times New Roman" w:eastAsia="Calibri" w:hAnsi="Times New Roman" w:cs="Times New Roman"/>
          <w:sz w:val="24"/>
          <w:szCs w:val="24"/>
          <w:lang w:val="sr-Cyrl-CS"/>
        </w:rPr>
        <w:t xml:space="preserve">реална просечна годишња стопа раста БДВ сектора </w:t>
      </w:r>
      <w:r w:rsidRPr="004831AB">
        <w:rPr>
          <w:rFonts w:ascii="Times New Roman" w:hAnsi="Times New Roman" w:cs="Times New Roman"/>
          <w:sz w:val="24"/>
          <w:szCs w:val="24"/>
          <w:lang w:val="sr-Cyrl-CS"/>
        </w:rPr>
        <w:t>МСПП</w:t>
      </w:r>
      <w:r w:rsidRPr="004831AB">
        <w:rPr>
          <w:rFonts w:ascii="Times New Roman" w:eastAsia="Calibri" w:hAnsi="Times New Roman" w:cs="Times New Roman"/>
          <w:sz w:val="24"/>
          <w:szCs w:val="24"/>
          <w:lang w:val="sr-Cyrl-CS"/>
        </w:rPr>
        <w:t>.</w:t>
      </w:r>
    </w:p>
    <w:p w14:paraId="70884C70" w14:textId="78F8E6FA" w:rsidR="003E14AF" w:rsidRPr="004831AB" w:rsidRDefault="003E14AF" w:rsidP="009F36FE">
      <w:pPr>
        <w:ind w:firstLine="720"/>
        <w:jc w:val="both"/>
        <w:rPr>
          <w:rFonts w:ascii="Times New Roman" w:hAnsi="Times New Roman" w:cs="Times New Roman"/>
          <w:lang w:val="sr-Cyrl-CS"/>
        </w:rPr>
      </w:pPr>
      <w:r w:rsidRPr="004831AB">
        <w:rPr>
          <w:rFonts w:ascii="Times New Roman" w:eastAsia="Calibri" w:hAnsi="Times New Roman" w:cs="Times New Roman"/>
          <w:sz w:val="24"/>
          <w:szCs w:val="24"/>
          <w:lang w:val="sr-Cyrl-CS"/>
        </w:rPr>
        <w:t>У наредној табели</w:t>
      </w:r>
      <w:r w:rsidR="00FF3B8A">
        <w:rPr>
          <w:rFonts w:ascii="Times New Roman" w:eastAsia="Calibri" w:hAnsi="Times New Roman" w:cs="Times New Roman"/>
          <w:sz w:val="24"/>
          <w:szCs w:val="24"/>
          <w:lang w:val="sr-Cyrl-CS"/>
        </w:rPr>
        <w:t xml:space="preserve"> (Табела 3)</w:t>
      </w:r>
      <w:r w:rsidRPr="004831AB">
        <w:rPr>
          <w:rFonts w:ascii="Times New Roman" w:eastAsia="Calibri" w:hAnsi="Times New Roman" w:cs="Times New Roman"/>
          <w:sz w:val="24"/>
          <w:szCs w:val="24"/>
          <w:lang w:val="sr-Cyrl-CS"/>
        </w:rPr>
        <w:t xml:space="preserve"> представљени су главни показатељи Стратегије МСПП укључујући: почетн</w:t>
      </w:r>
      <w:r w:rsidR="00611981" w:rsidRPr="004831AB">
        <w:rPr>
          <w:rFonts w:ascii="Times New Roman" w:eastAsia="Calibri" w:hAnsi="Times New Roman" w:cs="Times New Roman"/>
          <w:sz w:val="24"/>
          <w:szCs w:val="24"/>
          <w:lang w:val="sr-Cyrl-CS"/>
        </w:rPr>
        <w:t>у</w:t>
      </w:r>
      <w:r w:rsidRPr="004831AB">
        <w:rPr>
          <w:rFonts w:ascii="Times New Roman" w:eastAsia="Calibri" w:hAnsi="Times New Roman" w:cs="Times New Roman"/>
          <w:sz w:val="24"/>
          <w:szCs w:val="24"/>
          <w:lang w:val="sr-Cyrl-CS"/>
        </w:rPr>
        <w:t xml:space="preserve"> вредност из 2015. године, вредност из 2017. године</w:t>
      </w:r>
      <w:r w:rsidR="009D2B96" w:rsidRPr="004831AB">
        <w:rPr>
          <w:rFonts w:ascii="Times New Roman" w:eastAsia="Calibri" w:hAnsi="Times New Roman" w:cs="Times New Roman"/>
          <w:sz w:val="24"/>
          <w:szCs w:val="24"/>
          <w:lang w:val="sr-Cyrl-CS"/>
        </w:rPr>
        <w:t>,</w:t>
      </w:r>
      <w:r w:rsidRPr="004831AB">
        <w:rPr>
          <w:rFonts w:ascii="Times New Roman" w:eastAsia="Calibri" w:hAnsi="Times New Roman" w:cs="Times New Roman"/>
          <w:sz w:val="24"/>
          <w:szCs w:val="24"/>
          <w:lang w:val="sr-Cyrl-CS"/>
        </w:rPr>
        <w:t xml:space="preserve"> као и вредност у 2020. години</w:t>
      </w:r>
      <w:r w:rsidRPr="004831AB">
        <w:rPr>
          <w:rFonts w:ascii="Times New Roman" w:eastAsia="Calibri" w:hAnsi="Times New Roman" w:cs="Times New Roman"/>
          <w:bCs/>
          <w:sz w:val="24"/>
          <w:szCs w:val="24"/>
          <w:lang w:val="sr-Cyrl-CS"/>
        </w:rPr>
        <w:t xml:space="preserve">, </w:t>
      </w:r>
      <w:r w:rsidRPr="004831AB">
        <w:rPr>
          <w:rFonts w:ascii="Times New Roman" w:eastAsia="Calibri" w:hAnsi="Times New Roman" w:cs="Times New Roman"/>
          <w:sz w:val="24"/>
          <w:szCs w:val="24"/>
          <w:lang w:val="sr-Cyrl-CS"/>
        </w:rPr>
        <w:t>те се јасно закључује да су</w:t>
      </w:r>
      <w:r w:rsidRPr="004831AB">
        <w:rPr>
          <w:rFonts w:ascii="Times New Roman" w:eastAsia="Calibri" w:hAnsi="Times New Roman" w:cs="Times New Roman"/>
          <w:bCs/>
          <w:sz w:val="24"/>
          <w:szCs w:val="24"/>
          <w:lang w:val="sr-Cyrl-CS"/>
        </w:rPr>
        <w:t xml:space="preserve"> сви показатељи на нивоу Стратегије </w:t>
      </w:r>
      <w:r w:rsidR="00205521" w:rsidRPr="004831AB">
        <w:rPr>
          <w:rFonts w:ascii="Times New Roman" w:eastAsia="Calibri" w:hAnsi="Times New Roman" w:cs="Times New Roman"/>
          <w:bCs/>
          <w:sz w:val="24"/>
          <w:szCs w:val="24"/>
          <w:lang w:val="sr-Cyrl-CS"/>
        </w:rPr>
        <w:t xml:space="preserve">МСПП </w:t>
      </w:r>
      <w:r w:rsidRPr="004831AB">
        <w:rPr>
          <w:rFonts w:ascii="Times New Roman" w:eastAsia="Calibri" w:hAnsi="Times New Roman" w:cs="Times New Roman"/>
          <w:bCs/>
          <w:sz w:val="24"/>
          <w:szCs w:val="24"/>
          <w:lang w:val="sr-Cyrl-CS"/>
        </w:rPr>
        <w:t>остварени и премашени</w:t>
      </w:r>
      <w:r w:rsidRPr="004831AB">
        <w:rPr>
          <w:rFonts w:ascii="Times New Roman" w:eastAsia="Calibri" w:hAnsi="Times New Roman" w:cs="Times New Roman"/>
          <w:sz w:val="24"/>
          <w:szCs w:val="24"/>
          <w:lang w:val="sr-Cyrl-CS"/>
        </w:rPr>
        <w:t xml:space="preserve">. </w:t>
      </w:r>
    </w:p>
    <w:p w14:paraId="37E94B44" w14:textId="77777777" w:rsidR="003E14AF" w:rsidRPr="004831AB" w:rsidRDefault="003E14AF" w:rsidP="003E14AF">
      <w:pPr>
        <w:keepNext/>
        <w:spacing w:after="200"/>
        <w:rPr>
          <w:rFonts w:ascii="Times New Roman" w:eastAsia="Calibri" w:hAnsi="Times New Roman" w:cs="Times New Roman"/>
          <w:iCs/>
          <w:smallCaps/>
          <w:color w:val="000000"/>
          <w:lang w:val="sr-Cyrl-CS"/>
        </w:rPr>
      </w:pPr>
      <w:bookmarkStart w:id="5" w:name="_Ref103803480"/>
      <w:bookmarkStart w:id="6" w:name="_Toc104201387"/>
      <w:r w:rsidRPr="004831AB">
        <w:rPr>
          <w:rFonts w:ascii="Times New Roman" w:eastAsia="Calibri" w:hAnsi="Times New Roman" w:cs="Times New Roman"/>
          <w:iCs/>
          <w:smallCaps/>
          <w:color w:val="000000"/>
          <w:lang w:val="sr-Cyrl-CS"/>
        </w:rPr>
        <w:t xml:space="preserve">Табела </w:t>
      </w:r>
      <w:bookmarkEnd w:id="5"/>
      <w:r w:rsidR="00611981" w:rsidRPr="004831AB">
        <w:rPr>
          <w:rFonts w:ascii="Times New Roman" w:eastAsia="Calibri" w:hAnsi="Times New Roman" w:cs="Times New Roman"/>
          <w:iCs/>
          <w:smallCaps/>
          <w:color w:val="000000"/>
          <w:lang w:val="sr-Cyrl-CS"/>
        </w:rPr>
        <w:t>3</w:t>
      </w:r>
      <w:r w:rsidRPr="004831AB">
        <w:rPr>
          <w:rFonts w:ascii="Times New Roman" w:eastAsia="Calibri" w:hAnsi="Times New Roman" w:cs="Times New Roman"/>
          <w:iCs/>
          <w:smallCaps/>
          <w:color w:val="000000"/>
          <w:lang w:val="sr-Cyrl-CS"/>
        </w:rPr>
        <w:t>: Мера остварености индикатора за праћење остваривања стратешких циљева</w:t>
      </w:r>
      <w:bookmarkEnd w:id="6"/>
    </w:p>
    <w:tbl>
      <w:tblPr>
        <w:tblStyle w:val="TableGrid1"/>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1080"/>
        <w:gridCol w:w="1260"/>
        <w:gridCol w:w="1080"/>
        <w:gridCol w:w="1350"/>
        <w:gridCol w:w="1230"/>
        <w:gridCol w:w="1560"/>
      </w:tblGrid>
      <w:tr w:rsidR="003E14AF" w:rsidRPr="004831AB" w14:paraId="4CE7F61E" w14:textId="77777777" w:rsidTr="00237903">
        <w:tc>
          <w:tcPr>
            <w:tcW w:w="1615" w:type="dxa"/>
            <w:tcBorders>
              <w:top w:val="single" w:sz="8" w:space="0" w:color="auto"/>
              <w:bottom w:val="single" w:sz="8" w:space="0" w:color="auto"/>
            </w:tcBorders>
            <w:shd w:val="clear" w:color="auto" w:fill="D9D9D9"/>
            <w:vAlign w:val="center"/>
          </w:tcPr>
          <w:p w14:paraId="0BF93CCF"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Индикатор</w:t>
            </w:r>
          </w:p>
        </w:tc>
        <w:tc>
          <w:tcPr>
            <w:tcW w:w="1080" w:type="dxa"/>
            <w:tcBorders>
              <w:top w:val="single" w:sz="8" w:space="0" w:color="auto"/>
              <w:bottom w:val="single" w:sz="8" w:space="0" w:color="auto"/>
            </w:tcBorders>
            <w:shd w:val="clear" w:color="auto" w:fill="D9D9D9"/>
            <w:vAlign w:val="center"/>
          </w:tcPr>
          <w:p w14:paraId="739E8127"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Почетна вредност (2015)</w:t>
            </w:r>
          </w:p>
        </w:tc>
        <w:tc>
          <w:tcPr>
            <w:tcW w:w="1260" w:type="dxa"/>
            <w:tcBorders>
              <w:top w:val="single" w:sz="8" w:space="0" w:color="auto"/>
              <w:bottom w:val="single" w:sz="8" w:space="0" w:color="auto"/>
            </w:tcBorders>
            <w:shd w:val="clear" w:color="auto" w:fill="D9D9D9"/>
            <w:vAlign w:val="center"/>
          </w:tcPr>
          <w:p w14:paraId="22CD989A"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Вредност (2017 године)</w:t>
            </w:r>
            <w:r w:rsidRPr="004831AB">
              <w:rPr>
                <w:rFonts w:ascii="Times New Roman" w:eastAsia="Calibri" w:hAnsi="Times New Roman" w:cs="Times New Roman"/>
                <w:sz w:val="18"/>
                <w:szCs w:val="18"/>
                <w:vertAlign w:val="superscript"/>
                <w:lang w:val="sr-Cyrl-CS"/>
              </w:rPr>
              <w:t xml:space="preserve"> </w:t>
            </w:r>
            <w:r w:rsidRPr="004831AB">
              <w:rPr>
                <w:rFonts w:ascii="Times New Roman" w:eastAsia="Calibri" w:hAnsi="Times New Roman" w:cs="Times New Roman"/>
                <w:sz w:val="18"/>
                <w:szCs w:val="18"/>
                <w:vertAlign w:val="superscript"/>
                <w:lang w:val="sr-Cyrl-CS"/>
              </w:rPr>
              <w:footnoteReference w:id="33"/>
            </w:r>
          </w:p>
        </w:tc>
        <w:tc>
          <w:tcPr>
            <w:tcW w:w="1080" w:type="dxa"/>
            <w:tcBorders>
              <w:top w:val="single" w:sz="8" w:space="0" w:color="auto"/>
              <w:bottom w:val="single" w:sz="8" w:space="0" w:color="auto"/>
            </w:tcBorders>
            <w:shd w:val="clear" w:color="auto" w:fill="D9D9D9"/>
            <w:vAlign w:val="center"/>
          </w:tcPr>
          <w:p w14:paraId="446400EB"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Вредност (2020)</w:t>
            </w:r>
            <w:r w:rsidRPr="004831AB">
              <w:rPr>
                <w:rFonts w:ascii="Times New Roman" w:eastAsia="Calibri" w:hAnsi="Times New Roman" w:cs="Times New Roman"/>
                <w:sz w:val="18"/>
                <w:szCs w:val="18"/>
                <w:lang w:val="sr-Cyrl-CS"/>
              </w:rPr>
              <w:t xml:space="preserve"> </w:t>
            </w:r>
            <w:r w:rsidRPr="004831AB">
              <w:rPr>
                <w:rFonts w:ascii="Times New Roman" w:eastAsia="Calibri" w:hAnsi="Times New Roman" w:cs="Times New Roman"/>
                <w:sz w:val="18"/>
                <w:szCs w:val="18"/>
                <w:vertAlign w:val="superscript"/>
                <w:lang w:val="sr-Cyrl-CS"/>
              </w:rPr>
              <w:footnoteReference w:id="34"/>
            </w:r>
          </w:p>
        </w:tc>
        <w:tc>
          <w:tcPr>
            <w:tcW w:w="1350" w:type="dxa"/>
            <w:tcBorders>
              <w:top w:val="single" w:sz="8" w:space="0" w:color="auto"/>
              <w:bottom w:val="single" w:sz="8" w:space="0" w:color="auto"/>
            </w:tcBorders>
            <w:shd w:val="clear" w:color="auto" w:fill="D9D9D9"/>
            <w:vAlign w:val="center"/>
          </w:tcPr>
          <w:p w14:paraId="4B842152"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Циљана вредност</w:t>
            </w:r>
          </w:p>
        </w:tc>
        <w:tc>
          <w:tcPr>
            <w:tcW w:w="1230" w:type="dxa"/>
            <w:tcBorders>
              <w:top w:val="single" w:sz="8" w:space="0" w:color="auto"/>
              <w:bottom w:val="single" w:sz="8" w:space="0" w:color="auto"/>
            </w:tcBorders>
            <w:shd w:val="clear" w:color="auto" w:fill="D9D9D9"/>
            <w:vAlign w:val="center"/>
          </w:tcPr>
          <w:p w14:paraId="26FF1A7C"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Мера остварености</w:t>
            </w:r>
          </w:p>
          <w:p w14:paraId="23A7DCC4"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(2015-2020)</w:t>
            </w:r>
          </w:p>
        </w:tc>
        <w:tc>
          <w:tcPr>
            <w:tcW w:w="1560" w:type="dxa"/>
            <w:tcBorders>
              <w:top w:val="single" w:sz="8" w:space="0" w:color="auto"/>
              <w:bottom w:val="single" w:sz="8" w:space="0" w:color="auto"/>
            </w:tcBorders>
            <w:shd w:val="clear" w:color="auto" w:fill="D9D9D9"/>
            <w:vAlign w:val="center"/>
          </w:tcPr>
          <w:p w14:paraId="79CD1D3F" w14:textId="77777777" w:rsidR="003E14AF" w:rsidRPr="004831AB" w:rsidRDefault="003E14AF" w:rsidP="003E14AF">
            <w:pPr>
              <w:jc w:val="center"/>
              <w:rPr>
                <w:rFonts w:ascii="Times New Roman" w:eastAsia="Calibri" w:hAnsi="Times New Roman" w:cs="Times New Roman"/>
                <w:bCs/>
                <w:sz w:val="18"/>
                <w:szCs w:val="18"/>
                <w:lang w:val="sr-Cyrl-CS"/>
              </w:rPr>
            </w:pPr>
            <w:r w:rsidRPr="004831AB">
              <w:rPr>
                <w:rFonts w:ascii="Times New Roman" w:eastAsia="Calibri" w:hAnsi="Times New Roman" w:cs="Times New Roman"/>
                <w:bCs/>
                <w:sz w:val="18"/>
                <w:szCs w:val="18"/>
                <w:lang w:val="sr-Cyrl-CS"/>
              </w:rPr>
              <w:t>Извор</w:t>
            </w:r>
          </w:p>
        </w:tc>
      </w:tr>
      <w:tr w:rsidR="003E14AF" w:rsidRPr="004831AB" w14:paraId="2EC1BF5A" w14:textId="77777777" w:rsidTr="00D0635A">
        <w:tc>
          <w:tcPr>
            <w:tcW w:w="1615" w:type="dxa"/>
            <w:tcBorders>
              <w:top w:val="single" w:sz="8" w:space="0" w:color="auto"/>
            </w:tcBorders>
          </w:tcPr>
          <w:p w14:paraId="79D9BD07"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Укупан број МСПП</w:t>
            </w:r>
          </w:p>
        </w:tc>
        <w:tc>
          <w:tcPr>
            <w:tcW w:w="1080" w:type="dxa"/>
            <w:tcBorders>
              <w:top w:val="single" w:sz="8" w:space="0" w:color="auto"/>
            </w:tcBorders>
          </w:tcPr>
          <w:p w14:paraId="3135B778"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324.600</w:t>
            </w:r>
          </w:p>
        </w:tc>
        <w:tc>
          <w:tcPr>
            <w:tcW w:w="1260" w:type="dxa"/>
            <w:tcBorders>
              <w:top w:val="single" w:sz="8" w:space="0" w:color="auto"/>
            </w:tcBorders>
          </w:tcPr>
          <w:p w14:paraId="74CC4F3B"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357.755</w:t>
            </w:r>
          </w:p>
        </w:tc>
        <w:tc>
          <w:tcPr>
            <w:tcW w:w="1080" w:type="dxa"/>
            <w:tcBorders>
              <w:top w:val="single" w:sz="8" w:space="0" w:color="auto"/>
            </w:tcBorders>
          </w:tcPr>
          <w:p w14:paraId="5D088610"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403.288</w:t>
            </w:r>
          </w:p>
        </w:tc>
        <w:tc>
          <w:tcPr>
            <w:tcW w:w="1350" w:type="dxa"/>
            <w:tcBorders>
              <w:top w:val="single" w:sz="8" w:space="0" w:color="auto"/>
            </w:tcBorders>
          </w:tcPr>
          <w:p w14:paraId="2B0C08ED"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350.000</w:t>
            </w:r>
          </w:p>
        </w:tc>
        <w:tc>
          <w:tcPr>
            <w:tcW w:w="1230" w:type="dxa"/>
            <w:tcBorders>
              <w:top w:val="single" w:sz="8" w:space="0" w:color="auto"/>
            </w:tcBorders>
          </w:tcPr>
          <w:p w14:paraId="07BF4245"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+24,2 %</w:t>
            </w:r>
          </w:p>
        </w:tc>
        <w:tc>
          <w:tcPr>
            <w:tcW w:w="1560" w:type="dxa"/>
            <w:tcBorders>
              <w:top w:val="single" w:sz="8" w:space="0" w:color="auto"/>
            </w:tcBorders>
          </w:tcPr>
          <w:p w14:paraId="4F5E0032"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Извештај о малим и средњим предузећима</w:t>
            </w:r>
          </w:p>
          <w:p w14:paraId="643A61AB"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 xml:space="preserve">(Министарство привреде  РС) </w:t>
            </w:r>
          </w:p>
        </w:tc>
      </w:tr>
      <w:tr w:rsidR="003E14AF" w:rsidRPr="004831AB" w14:paraId="1292300B" w14:textId="77777777" w:rsidTr="00D0635A">
        <w:tc>
          <w:tcPr>
            <w:tcW w:w="1615" w:type="dxa"/>
          </w:tcPr>
          <w:p w14:paraId="59D6BE8E"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Укупан број запослених у МСПП</w:t>
            </w:r>
          </w:p>
        </w:tc>
        <w:tc>
          <w:tcPr>
            <w:tcW w:w="1080" w:type="dxa"/>
          </w:tcPr>
          <w:p w14:paraId="1E5925C7"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801.719</w:t>
            </w:r>
          </w:p>
        </w:tc>
        <w:tc>
          <w:tcPr>
            <w:tcW w:w="1260" w:type="dxa"/>
          </w:tcPr>
          <w:p w14:paraId="5D0B151D"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873.462</w:t>
            </w:r>
          </w:p>
        </w:tc>
        <w:tc>
          <w:tcPr>
            <w:tcW w:w="1080" w:type="dxa"/>
          </w:tcPr>
          <w:p w14:paraId="0D35E0DD"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965.461</w:t>
            </w:r>
          </w:p>
        </w:tc>
        <w:tc>
          <w:tcPr>
            <w:tcW w:w="1350" w:type="dxa"/>
          </w:tcPr>
          <w:p w14:paraId="67004444"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950.000</w:t>
            </w:r>
          </w:p>
        </w:tc>
        <w:tc>
          <w:tcPr>
            <w:tcW w:w="1230" w:type="dxa"/>
          </w:tcPr>
          <w:p w14:paraId="1047D792"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+20,4%</w:t>
            </w:r>
          </w:p>
        </w:tc>
        <w:tc>
          <w:tcPr>
            <w:tcW w:w="1560" w:type="dxa"/>
          </w:tcPr>
          <w:p w14:paraId="2F25C0F9"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Извештај о малим и средњим предузећима</w:t>
            </w:r>
          </w:p>
          <w:p w14:paraId="5668EE7E"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(Министарство привреде  РС)</w:t>
            </w:r>
          </w:p>
        </w:tc>
      </w:tr>
      <w:tr w:rsidR="003E14AF" w:rsidRPr="004831AB" w14:paraId="38B35E1A" w14:textId="77777777" w:rsidTr="00D0635A">
        <w:tc>
          <w:tcPr>
            <w:tcW w:w="1615" w:type="dxa"/>
            <w:tcBorders>
              <w:bottom w:val="single" w:sz="8" w:space="0" w:color="auto"/>
            </w:tcBorders>
          </w:tcPr>
          <w:p w14:paraId="0D49C86D"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Реална просечна годишња стопа раста БДВ сектора МСПП</w:t>
            </w:r>
          </w:p>
        </w:tc>
        <w:tc>
          <w:tcPr>
            <w:tcW w:w="1080" w:type="dxa"/>
            <w:tcBorders>
              <w:bottom w:val="single" w:sz="8" w:space="0" w:color="auto"/>
            </w:tcBorders>
          </w:tcPr>
          <w:p w14:paraId="629ABA70"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3.05%</w:t>
            </w:r>
            <w:r w:rsidRPr="004831AB">
              <w:rPr>
                <w:rFonts w:ascii="Times New Roman" w:eastAsia="Calibri" w:hAnsi="Times New Roman" w:cs="Times New Roman"/>
                <w:sz w:val="18"/>
                <w:szCs w:val="18"/>
                <w:vertAlign w:val="superscript"/>
                <w:lang w:val="sr-Cyrl-CS"/>
              </w:rPr>
              <w:footnoteReference w:id="35"/>
            </w:r>
          </w:p>
        </w:tc>
        <w:tc>
          <w:tcPr>
            <w:tcW w:w="1260" w:type="dxa"/>
            <w:tcBorders>
              <w:bottom w:val="single" w:sz="8" w:space="0" w:color="auto"/>
            </w:tcBorders>
          </w:tcPr>
          <w:p w14:paraId="64EF4768"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4.56%</w:t>
            </w:r>
          </w:p>
        </w:tc>
        <w:tc>
          <w:tcPr>
            <w:tcW w:w="1080" w:type="dxa"/>
            <w:tcBorders>
              <w:bottom w:val="single" w:sz="8" w:space="0" w:color="auto"/>
            </w:tcBorders>
          </w:tcPr>
          <w:p w14:paraId="4A935020"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9,69%</w:t>
            </w:r>
          </w:p>
          <w:p w14:paraId="1075B252" w14:textId="77777777" w:rsidR="003E14AF" w:rsidRPr="004831AB" w:rsidRDefault="003E14AF" w:rsidP="00D0635A">
            <w:pPr>
              <w:rPr>
                <w:rFonts w:ascii="Times New Roman" w:eastAsia="Calibri" w:hAnsi="Times New Roman" w:cs="Times New Roman"/>
                <w:sz w:val="18"/>
                <w:szCs w:val="18"/>
                <w:lang w:val="sr-Cyrl-CS"/>
              </w:rPr>
            </w:pPr>
          </w:p>
        </w:tc>
        <w:tc>
          <w:tcPr>
            <w:tcW w:w="1350" w:type="dxa"/>
            <w:tcBorders>
              <w:bottom w:val="single" w:sz="8" w:space="0" w:color="auto"/>
            </w:tcBorders>
          </w:tcPr>
          <w:p w14:paraId="0E46AD56" w14:textId="77777777" w:rsidR="003E14AF" w:rsidRPr="004831AB" w:rsidRDefault="003E14AF" w:rsidP="00D0635A">
            <w:pPr>
              <w:rPr>
                <w:rFonts w:ascii="Times New Roman" w:eastAsia="Calibri" w:hAnsi="Times New Roman" w:cs="Times New Roman"/>
                <w:sz w:val="18"/>
                <w:szCs w:val="18"/>
                <w:lang w:val="sr-Cyrl-CS"/>
              </w:rPr>
            </w:pPr>
            <w:r w:rsidRPr="004831AB">
              <w:rPr>
                <w:rFonts w:ascii="Times New Roman" w:eastAsia="Calibri" w:hAnsi="Times New Roman" w:cs="Times New Roman"/>
                <w:noProof/>
                <w:sz w:val="18"/>
                <w:szCs w:val="18"/>
                <w:lang w:val="sr-Cyrl-CS"/>
              </w:rPr>
              <w:t>3%±1</w:t>
            </w:r>
          </w:p>
        </w:tc>
        <w:tc>
          <w:tcPr>
            <w:tcW w:w="1230" w:type="dxa"/>
            <w:tcBorders>
              <w:bottom w:val="single" w:sz="8" w:space="0" w:color="auto"/>
            </w:tcBorders>
          </w:tcPr>
          <w:p w14:paraId="487482E6" w14:textId="77777777" w:rsidR="003E14AF" w:rsidRPr="004831AB" w:rsidRDefault="003E14AF" w:rsidP="00D0635A">
            <w:pPr>
              <w:jc w:val="center"/>
              <w:rPr>
                <w:rFonts w:ascii="Times New Roman" w:eastAsia="Calibri" w:hAnsi="Times New Roman" w:cs="Times New Roman"/>
                <w:sz w:val="18"/>
                <w:szCs w:val="18"/>
                <w:highlight w:val="cyan"/>
                <w:lang w:val="sr-Cyrl-CS"/>
              </w:rPr>
            </w:pPr>
            <w:r w:rsidRPr="004831AB">
              <w:rPr>
                <w:rFonts w:ascii="Times New Roman" w:eastAsia="Calibri" w:hAnsi="Times New Roman" w:cs="Times New Roman"/>
                <w:sz w:val="18"/>
                <w:szCs w:val="18"/>
                <w:lang w:val="sr-Cyrl-CS"/>
              </w:rPr>
              <w:t>+6,64%</w:t>
            </w:r>
          </w:p>
        </w:tc>
        <w:tc>
          <w:tcPr>
            <w:tcW w:w="1560" w:type="dxa"/>
            <w:tcBorders>
              <w:bottom w:val="single" w:sz="8" w:space="0" w:color="auto"/>
            </w:tcBorders>
          </w:tcPr>
          <w:p w14:paraId="38CE9669"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Изведени показатељи</w:t>
            </w:r>
          </w:p>
          <w:p w14:paraId="686D005A" w14:textId="77777777" w:rsidR="003E14AF" w:rsidRPr="004831AB" w:rsidRDefault="003E14AF" w:rsidP="00D0635A">
            <w:pPr>
              <w:jc w:val="cente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t>(изведени показатељ)</w:t>
            </w:r>
          </w:p>
        </w:tc>
      </w:tr>
    </w:tbl>
    <w:p w14:paraId="542DEA61" w14:textId="77777777" w:rsidR="003E14AF" w:rsidRPr="004831AB" w:rsidRDefault="003E14AF" w:rsidP="003E14AF">
      <w:pPr>
        <w:rPr>
          <w:rFonts w:ascii="Times New Roman" w:eastAsia="Calibri" w:hAnsi="Times New Roman" w:cs="Times New Roman"/>
          <w:sz w:val="18"/>
          <w:szCs w:val="18"/>
          <w:lang w:val="sr-Cyrl-CS"/>
        </w:rPr>
      </w:pPr>
      <w:r w:rsidRPr="004831AB">
        <w:rPr>
          <w:rFonts w:ascii="Times New Roman" w:eastAsia="Calibri" w:hAnsi="Times New Roman" w:cs="Times New Roman"/>
          <w:sz w:val="18"/>
          <w:szCs w:val="18"/>
          <w:lang w:val="sr-Cyrl-CS"/>
        </w:rPr>
        <w:lastRenderedPageBreak/>
        <w:t>Извор: Министарство привреде [Извештаји о МСПП], оригинални подаци: РЗС</w:t>
      </w:r>
    </w:p>
    <w:p w14:paraId="00856A67" w14:textId="77777777" w:rsidR="00275729" w:rsidRPr="004831AB" w:rsidRDefault="00275729"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Планирани број МСПП је премашен за 15,2%. Планирани укупан број запослених у сектору МСПП, је премашен за 1,63%</w:t>
      </w:r>
      <w:r w:rsidR="00AF3E45"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Реална просечна годишња стопа раста БДВ сектора МСПП (за период 2013-2020), </w:t>
      </w:r>
      <w:r w:rsidR="007D6F79" w:rsidRPr="004831AB">
        <w:rPr>
          <w:rFonts w:ascii="Times New Roman" w:hAnsi="Times New Roman" w:cs="Times New Roman"/>
          <w:sz w:val="24"/>
          <w:szCs w:val="24"/>
          <w:lang w:val="sr-Cyrl-CS"/>
        </w:rPr>
        <w:t xml:space="preserve">износила је </w:t>
      </w:r>
      <w:r w:rsidRPr="004831AB">
        <w:rPr>
          <w:rFonts w:ascii="Times New Roman" w:hAnsi="Times New Roman" w:cs="Times New Roman"/>
          <w:sz w:val="24"/>
          <w:szCs w:val="24"/>
          <w:lang w:val="sr-Cyrl-CS"/>
        </w:rPr>
        <w:t xml:space="preserve">9,69%, што је за 6,96% изнад реалистичне пројекције (5,96% изнад оптимистичне, те 7,96% изнад конзервативне стратешке пројекције). </w:t>
      </w:r>
    </w:p>
    <w:p w14:paraId="194F98C2" w14:textId="77777777" w:rsidR="00275729" w:rsidRPr="004831AB" w:rsidRDefault="00275729"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На нивоу стубова/стратешких циљева Стратегије МСПП дефинисано </w:t>
      </w:r>
      <w:r w:rsidR="00AF3E45" w:rsidRPr="004831AB">
        <w:rPr>
          <w:rFonts w:ascii="Times New Roman" w:hAnsi="Times New Roman" w:cs="Times New Roman"/>
          <w:sz w:val="24"/>
          <w:szCs w:val="24"/>
          <w:lang w:val="sr-Cyrl-CS"/>
        </w:rPr>
        <w:t xml:space="preserve">је </w:t>
      </w:r>
      <w:r w:rsidRPr="004831AB">
        <w:rPr>
          <w:rFonts w:ascii="Times New Roman" w:hAnsi="Times New Roman" w:cs="Times New Roman"/>
          <w:sz w:val="24"/>
          <w:szCs w:val="24"/>
          <w:lang w:val="sr-Cyrl-CS"/>
        </w:rPr>
        <w:t xml:space="preserve">укупно 11 индикатора, </w:t>
      </w:r>
      <w:r w:rsidRPr="004831AB">
        <w:rPr>
          <w:sz w:val="24"/>
          <w:szCs w:val="24"/>
          <w:lang w:val="sr-Cyrl-CS"/>
        </w:rPr>
        <w:t xml:space="preserve"> </w:t>
      </w:r>
      <w:r w:rsidRPr="004831AB">
        <w:rPr>
          <w:rFonts w:ascii="Times New Roman" w:hAnsi="Times New Roman" w:cs="Times New Roman"/>
          <w:sz w:val="24"/>
          <w:szCs w:val="24"/>
          <w:lang w:val="sr-Cyrl-CS"/>
        </w:rPr>
        <w:t>степен њихове остварености је различит, а у одређеном броју случајева, и поред значајних побољшања, циљане вредности нису постигнуте. До благог погоршања вредности показатеља дошло је у области извоза МСПП, док је у области иновација тај пад нешто израженији, што треба узети са резервом, имајући у виду избор индикатора и методологију њиховог обрачуна у овој области.</w:t>
      </w:r>
    </w:p>
    <w:p w14:paraId="1DA40BD1" w14:textId="77777777" w:rsidR="00275729" w:rsidRPr="004831AB" w:rsidRDefault="00275729" w:rsidP="00237903">
      <w:pPr>
        <w:keepNext/>
        <w:spacing w:after="200"/>
        <w:rPr>
          <w:rFonts w:eastAsia="Calibri" w:cs="Times New Roman"/>
          <w:smallCaps/>
          <w:color w:val="000000"/>
          <w:lang w:val="sr-Cyrl-CS"/>
        </w:rPr>
      </w:pPr>
      <w:bookmarkStart w:id="7" w:name="_Ref102807745"/>
      <w:bookmarkStart w:id="8" w:name="_Toc104201391"/>
      <w:r w:rsidRPr="004831AB">
        <w:rPr>
          <w:rFonts w:ascii="Times New Roman" w:eastAsia="Calibri" w:hAnsi="Times New Roman" w:cs="Times New Roman"/>
          <w:iCs/>
          <w:smallCaps/>
          <w:color w:val="000000"/>
          <w:lang w:val="sr-Cyrl-CS"/>
        </w:rPr>
        <w:t>Табела</w:t>
      </w:r>
      <w:bookmarkEnd w:id="7"/>
      <w:r w:rsidRPr="004831AB">
        <w:rPr>
          <w:rFonts w:ascii="Times New Roman" w:eastAsia="Calibri" w:hAnsi="Times New Roman" w:cs="Times New Roman"/>
          <w:iCs/>
          <w:smallCaps/>
          <w:color w:val="000000"/>
          <w:lang w:val="sr-Cyrl-CS"/>
        </w:rPr>
        <w:t xml:space="preserve"> </w:t>
      </w:r>
      <w:r w:rsidR="00611981" w:rsidRPr="004831AB">
        <w:rPr>
          <w:rFonts w:ascii="Times New Roman" w:eastAsia="Calibri" w:hAnsi="Times New Roman" w:cs="Times New Roman"/>
          <w:iCs/>
          <w:smallCaps/>
          <w:color w:val="000000"/>
          <w:lang w:val="sr-Cyrl-CS"/>
        </w:rPr>
        <w:t>4</w:t>
      </w:r>
      <w:r w:rsidRPr="004831AB">
        <w:rPr>
          <w:rFonts w:ascii="Times New Roman" w:eastAsia="Calibri" w:hAnsi="Times New Roman" w:cs="Times New Roman"/>
          <w:iCs/>
          <w:smallCaps/>
          <w:color w:val="000000"/>
          <w:lang w:val="sr-Cyrl-CS"/>
        </w:rPr>
        <w:t>: Оцена ефективности на нивоу стубова стратегије</w:t>
      </w:r>
      <w:bookmarkEnd w:id="8"/>
      <w:r w:rsidR="00205521" w:rsidRPr="004831AB">
        <w:rPr>
          <w:rFonts w:ascii="Times New Roman" w:eastAsia="Calibri" w:hAnsi="Times New Roman" w:cs="Times New Roman"/>
          <w:iCs/>
          <w:smallCaps/>
          <w:color w:val="000000"/>
          <w:lang w:val="sr-Cyrl-CS"/>
        </w:rPr>
        <w:t xml:space="preserve"> МСПП</w:t>
      </w:r>
    </w:p>
    <w:tbl>
      <w:tblPr>
        <w:tblW w:w="5074" w:type="pct"/>
        <w:tblInd w:w="-142" w:type="dxa"/>
        <w:tblLook w:val="04A0" w:firstRow="1" w:lastRow="0" w:firstColumn="1" w:lastColumn="0" w:noHBand="0" w:noVBand="1"/>
      </w:tblPr>
      <w:tblGrid>
        <w:gridCol w:w="491"/>
        <w:gridCol w:w="4732"/>
        <w:gridCol w:w="938"/>
        <w:gridCol w:w="906"/>
        <w:gridCol w:w="1235"/>
        <w:gridCol w:w="1573"/>
      </w:tblGrid>
      <w:tr w:rsidR="007C67E2" w:rsidRPr="004831AB" w14:paraId="79B71138" w14:textId="77777777" w:rsidTr="005C7E6F">
        <w:trPr>
          <w:trHeight w:val="280"/>
        </w:trPr>
        <w:tc>
          <w:tcPr>
            <w:tcW w:w="320" w:type="pct"/>
            <w:tcBorders>
              <w:top w:val="single" w:sz="8" w:space="0" w:color="auto"/>
              <w:left w:val="nil"/>
              <w:bottom w:val="single" w:sz="8" w:space="0" w:color="auto"/>
              <w:right w:val="nil"/>
            </w:tcBorders>
            <w:shd w:val="clear" w:color="auto" w:fill="D9D9D9" w:themeFill="background1" w:themeFillShade="D9"/>
            <w:vAlign w:val="bottom"/>
          </w:tcPr>
          <w:p w14:paraId="39661EE4" w14:textId="0A739ACD" w:rsidR="00275729" w:rsidRPr="004831AB" w:rsidRDefault="00275729" w:rsidP="00D0635A">
            <w:pPr>
              <w:jc w:val="cente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Р</w:t>
            </w:r>
            <w:r w:rsidR="0067634E" w:rsidRPr="004831AB">
              <w:rPr>
                <w:rFonts w:ascii="Times New Roman" w:eastAsia="Times New Roman" w:hAnsi="Times New Roman" w:cs="Times New Roman"/>
                <w:bCs/>
                <w:lang w:val="sr-Cyrl-CS" w:eastAsia="en-GB"/>
              </w:rPr>
              <w:t>б</w:t>
            </w:r>
          </w:p>
        </w:tc>
        <w:tc>
          <w:tcPr>
            <w:tcW w:w="2355" w:type="pct"/>
            <w:tcBorders>
              <w:top w:val="single" w:sz="8" w:space="0" w:color="auto"/>
              <w:left w:val="nil"/>
              <w:bottom w:val="single" w:sz="8" w:space="0" w:color="auto"/>
              <w:right w:val="nil"/>
            </w:tcBorders>
            <w:shd w:val="clear" w:color="auto" w:fill="D9D9D9" w:themeFill="background1" w:themeFillShade="D9"/>
            <w:noWrap/>
            <w:vAlign w:val="bottom"/>
            <w:hideMark/>
          </w:tcPr>
          <w:p w14:paraId="1DBBD760"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Показатељ</w:t>
            </w:r>
          </w:p>
        </w:tc>
        <w:tc>
          <w:tcPr>
            <w:tcW w:w="470" w:type="pct"/>
            <w:tcBorders>
              <w:top w:val="single" w:sz="8" w:space="0" w:color="auto"/>
              <w:left w:val="nil"/>
              <w:bottom w:val="single" w:sz="8" w:space="0" w:color="auto"/>
              <w:right w:val="nil"/>
            </w:tcBorders>
            <w:shd w:val="clear" w:color="auto" w:fill="D9D9D9" w:themeFill="background1" w:themeFillShade="D9"/>
            <w:vAlign w:val="bottom"/>
            <w:hideMark/>
          </w:tcPr>
          <w:p w14:paraId="4A42450E" w14:textId="77777777" w:rsidR="00275729" w:rsidRPr="004831AB" w:rsidRDefault="00275729" w:rsidP="00D0635A">
            <w:pPr>
              <w:jc w:val="cente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2015.</w:t>
            </w:r>
            <w:r w:rsidRPr="004831AB">
              <w:rPr>
                <w:rFonts w:ascii="Times New Roman" w:eastAsia="Times New Roman" w:hAnsi="Times New Roman" w:cs="Times New Roman"/>
                <w:bCs/>
                <w:vertAlign w:val="superscript"/>
                <w:lang w:val="sr-Cyrl-CS" w:eastAsia="en-GB"/>
              </w:rPr>
              <w:t>а</w:t>
            </w:r>
          </w:p>
        </w:tc>
        <w:tc>
          <w:tcPr>
            <w:tcW w:w="453" w:type="pct"/>
            <w:tcBorders>
              <w:top w:val="single" w:sz="8" w:space="0" w:color="auto"/>
              <w:left w:val="nil"/>
              <w:bottom w:val="single" w:sz="8" w:space="0" w:color="auto"/>
              <w:right w:val="nil"/>
            </w:tcBorders>
            <w:shd w:val="clear" w:color="auto" w:fill="D9D9D9" w:themeFill="background1" w:themeFillShade="D9"/>
            <w:vAlign w:val="bottom"/>
            <w:hideMark/>
          </w:tcPr>
          <w:p w14:paraId="6B60195A" w14:textId="77777777" w:rsidR="00275729" w:rsidRPr="004831AB" w:rsidRDefault="00275729" w:rsidP="00D0635A">
            <w:pPr>
              <w:jc w:val="cente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План</w:t>
            </w:r>
            <w:r w:rsidRPr="004831AB">
              <w:rPr>
                <w:rFonts w:ascii="Times New Roman" w:eastAsia="Times New Roman" w:hAnsi="Times New Roman" w:cs="Times New Roman"/>
                <w:bCs/>
                <w:lang w:val="sr-Cyrl-CS" w:eastAsia="en-GB"/>
              </w:rPr>
              <w:br/>
              <w:t>2020.</w:t>
            </w:r>
          </w:p>
        </w:tc>
        <w:tc>
          <w:tcPr>
            <w:tcW w:w="617" w:type="pct"/>
            <w:tcBorders>
              <w:top w:val="single" w:sz="8" w:space="0" w:color="auto"/>
              <w:left w:val="nil"/>
              <w:bottom w:val="single" w:sz="8" w:space="0" w:color="auto"/>
              <w:right w:val="nil"/>
            </w:tcBorders>
            <w:shd w:val="clear" w:color="auto" w:fill="D9D9D9" w:themeFill="background1" w:themeFillShade="D9"/>
            <w:vAlign w:val="bottom"/>
            <w:hideMark/>
          </w:tcPr>
          <w:p w14:paraId="60B987C8" w14:textId="77777777" w:rsidR="00275729" w:rsidRPr="004831AB" w:rsidRDefault="00275729" w:rsidP="00D0635A">
            <w:pPr>
              <w:jc w:val="cente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Остварење</w:t>
            </w:r>
            <w:r w:rsidRPr="004831AB">
              <w:rPr>
                <w:rFonts w:ascii="Times New Roman" w:eastAsia="Times New Roman" w:hAnsi="Times New Roman" w:cs="Times New Roman"/>
                <w:bCs/>
                <w:lang w:val="sr-Cyrl-CS" w:eastAsia="en-GB"/>
              </w:rPr>
              <w:br/>
              <w:t>2020.</w:t>
            </w:r>
            <w:r w:rsidRPr="004831AB">
              <w:rPr>
                <w:rFonts w:ascii="Times New Roman" w:eastAsia="Times New Roman" w:hAnsi="Times New Roman" w:cs="Times New Roman"/>
                <w:bCs/>
                <w:vertAlign w:val="superscript"/>
                <w:lang w:val="sr-Cyrl-CS" w:eastAsia="en-GB"/>
              </w:rPr>
              <w:t xml:space="preserve"> б</w:t>
            </w:r>
          </w:p>
        </w:tc>
        <w:tc>
          <w:tcPr>
            <w:tcW w:w="785" w:type="pct"/>
            <w:tcBorders>
              <w:top w:val="single" w:sz="8" w:space="0" w:color="auto"/>
              <w:left w:val="nil"/>
              <w:bottom w:val="single" w:sz="8" w:space="0" w:color="auto"/>
              <w:right w:val="nil"/>
            </w:tcBorders>
            <w:shd w:val="clear" w:color="auto" w:fill="D9D9D9" w:themeFill="background1" w:themeFillShade="D9"/>
            <w:vAlign w:val="bottom"/>
          </w:tcPr>
          <w:p w14:paraId="489AE7AF" w14:textId="77777777" w:rsidR="00275729" w:rsidRPr="004831AB" w:rsidRDefault="00275729" w:rsidP="00D0635A">
            <w:pPr>
              <w:jc w:val="cente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Оцена исппуњености циља</w:t>
            </w:r>
          </w:p>
        </w:tc>
      </w:tr>
      <w:tr w:rsidR="00275729" w:rsidRPr="004831AB" w14:paraId="027662BC" w14:textId="77777777" w:rsidTr="005C7E6F">
        <w:trPr>
          <w:trHeight w:val="280"/>
        </w:trPr>
        <w:tc>
          <w:tcPr>
            <w:tcW w:w="5000" w:type="pct"/>
            <w:gridSpan w:val="6"/>
            <w:tcBorders>
              <w:top w:val="single" w:sz="8" w:space="0" w:color="auto"/>
              <w:left w:val="nil"/>
              <w:right w:val="nil"/>
            </w:tcBorders>
          </w:tcPr>
          <w:p w14:paraId="7F1C79B7"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УНАПРЕЂЕЊЕ ПОСЛОВНОГ ОКРУЖЕЊА</w:t>
            </w:r>
          </w:p>
        </w:tc>
      </w:tr>
      <w:tr w:rsidR="007C67E2" w:rsidRPr="004831AB" w14:paraId="03B64D88" w14:textId="77777777" w:rsidTr="005C7E6F">
        <w:trPr>
          <w:trHeight w:val="280"/>
        </w:trPr>
        <w:tc>
          <w:tcPr>
            <w:tcW w:w="320" w:type="pct"/>
            <w:tcBorders>
              <w:left w:val="nil"/>
              <w:right w:val="nil"/>
            </w:tcBorders>
          </w:tcPr>
          <w:p w14:paraId="12B68683"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1.</w:t>
            </w:r>
          </w:p>
        </w:tc>
        <w:tc>
          <w:tcPr>
            <w:tcW w:w="2355" w:type="pct"/>
            <w:tcBorders>
              <w:left w:val="nil"/>
              <w:right w:val="nil"/>
            </w:tcBorders>
            <w:shd w:val="clear" w:color="auto" w:fill="auto"/>
            <w:noWrap/>
          </w:tcPr>
          <w:p w14:paraId="7F531C9D"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 xml:space="preserve">Ранг у извештају </w:t>
            </w:r>
            <w:r w:rsidRPr="004831AB">
              <w:rPr>
                <w:rFonts w:ascii="Times New Roman" w:hAnsi="Times New Roman" w:cs="Times New Roman"/>
                <w:lang w:val="sr-Cyrl-CS"/>
              </w:rPr>
              <w:br/>
              <w:t>Светске банке о пословању</w:t>
            </w:r>
          </w:p>
        </w:tc>
        <w:tc>
          <w:tcPr>
            <w:tcW w:w="470" w:type="pct"/>
            <w:tcBorders>
              <w:left w:val="nil"/>
              <w:right w:val="nil"/>
            </w:tcBorders>
            <w:shd w:val="clear" w:color="auto" w:fill="auto"/>
          </w:tcPr>
          <w:p w14:paraId="327DBFC0"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91</w:t>
            </w:r>
          </w:p>
        </w:tc>
        <w:tc>
          <w:tcPr>
            <w:tcW w:w="453" w:type="pct"/>
            <w:tcBorders>
              <w:left w:val="nil"/>
              <w:right w:val="nil"/>
            </w:tcBorders>
            <w:shd w:val="clear" w:color="auto" w:fill="auto"/>
          </w:tcPr>
          <w:p w14:paraId="1D320763"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23522441" w14:textId="77777777" w:rsidR="00275729" w:rsidRPr="004831AB" w:rsidRDefault="00000000" w:rsidP="00D0635A">
            <w:pPr>
              <w:jc w:val="right"/>
              <w:rPr>
                <w:rFonts w:ascii="Times New Roman" w:eastAsia="Times New Roman" w:hAnsi="Times New Roman" w:cs="Times New Roman"/>
                <w:lang w:val="sr-Cyrl-CS" w:eastAsia="en-GB"/>
              </w:rPr>
            </w:pPr>
            <w:hyperlink r:id="rId11" w:history="1">
              <w:r w:rsidR="00275729" w:rsidRPr="004831AB">
                <w:rPr>
                  <w:rStyle w:val="Hyperlink"/>
                  <w:rFonts w:ascii="Times New Roman" w:eastAsia="Times New Roman" w:hAnsi="Times New Roman" w:cs="Times New Roman"/>
                  <w:color w:val="auto"/>
                  <w:u w:val="none"/>
                  <w:lang w:val="sr-Cyrl-CS" w:eastAsia="en-GB"/>
                </w:rPr>
                <w:t>44</w:t>
              </w:r>
            </w:hyperlink>
          </w:p>
        </w:tc>
        <w:tc>
          <w:tcPr>
            <w:tcW w:w="785" w:type="pct"/>
            <w:tcBorders>
              <w:left w:val="nil"/>
              <w:right w:val="nil"/>
            </w:tcBorders>
          </w:tcPr>
          <w:p w14:paraId="21458970" w14:textId="77777777" w:rsidR="00275729" w:rsidRPr="004831AB" w:rsidRDefault="00275729" w:rsidP="00D0635A">
            <w:pPr>
              <w:jc w:val="right"/>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Надмашен</w:t>
            </w:r>
          </w:p>
        </w:tc>
      </w:tr>
      <w:tr w:rsidR="007C67E2" w:rsidRPr="004831AB" w14:paraId="161CD009" w14:textId="77777777" w:rsidTr="005C7E6F">
        <w:trPr>
          <w:trHeight w:val="280"/>
        </w:trPr>
        <w:tc>
          <w:tcPr>
            <w:tcW w:w="320" w:type="pct"/>
            <w:tcBorders>
              <w:left w:val="nil"/>
              <w:right w:val="nil"/>
            </w:tcBorders>
          </w:tcPr>
          <w:p w14:paraId="03C90498"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2.</w:t>
            </w:r>
          </w:p>
        </w:tc>
        <w:tc>
          <w:tcPr>
            <w:tcW w:w="2355" w:type="pct"/>
            <w:tcBorders>
              <w:left w:val="nil"/>
              <w:right w:val="nil"/>
            </w:tcBorders>
            <w:shd w:val="clear" w:color="auto" w:fill="auto"/>
            <w:noWrap/>
          </w:tcPr>
          <w:p w14:paraId="51C1F8CF"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Ранг према Глоб</w:t>
            </w:r>
            <w:r w:rsidR="007C67E2" w:rsidRPr="004831AB">
              <w:rPr>
                <w:rFonts w:ascii="Times New Roman" w:hAnsi="Times New Roman" w:cs="Times New Roman"/>
                <w:lang w:val="sr-Cyrl-CS"/>
              </w:rPr>
              <w:t>алном</w:t>
            </w:r>
            <w:r w:rsidRPr="004831AB">
              <w:rPr>
                <w:rFonts w:ascii="Times New Roman" w:hAnsi="Times New Roman" w:cs="Times New Roman"/>
                <w:lang w:val="sr-Cyrl-CS"/>
              </w:rPr>
              <w:t xml:space="preserve"> индексу </w:t>
            </w:r>
            <w:r w:rsidR="007C67E2" w:rsidRPr="004831AB">
              <w:rPr>
                <w:rFonts w:ascii="Times New Roman" w:hAnsi="Times New Roman" w:cs="Times New Roman"/>
                <w:lang w:val="sr-Cyrl-CS"/>
              </w:rPr>
              <w:t xml:space="preserve">конкурентности </w:t>
            </w:r>
            <w:r w:rsidRPr="004831AB">
              <w:rPr>
                <w:rFonts w:ascii="Times New Roman" w:hAnsi="Times New Roman" w:cs="Times New Roman"/>
                <w:lang w:val="sr-Cyrl-CS"/>
              </w:rPr>
              <w:t xml:space="preserve"> </w:t>
            </w:r>
            <w:r w:rsidRPr="004831AB">
              <w:rPr>
                <w:rFonts w:ascii="Times New Roman" w:hAnsi="Times New Roman" w:cs="Times New Roman"/>
                <w:lang w:val="sr-Cyrl-CS"/>
              </w:rPr>
              <w:br/>
              <w:t>Светског економског форума</w:t>
            </w:r>
          </w:p>
        </w:tc>
        <w:tc>
          <w:tcPr>
            <w:tcW w:w="470" w:type="pct"/>
            <w:tcBorders>
              <w:left w:val="nil"/>
              <w:right w:val="nil"/>
            </w:tcBorders>
            <w:shd w:val="clear" w:color="auto" w:fill="auto"/>
          </w:tcPr>
          <w:p w14:paraId="197302E1"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94/144</w:t>
            </w:r>
          </w:p>
        </w:tc>
        <w:tc>
          <w:tcPr>
            <w:tcW w:w="453" w:type="pct"/>
            <w:tcBorders>
              <w:left w:val="nil"/>
              <w:right w:val="nil"/>
            </w:tcBorders>
            <w:shd w:val="clear" w:color="auto" w:fill="auto"/>
          </w:tcPr>
          <w:p w14:paraId="6C4237DE"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43664073" w14:textId="77777777" w:rsidR="00275729" w:rsidRPr="004831AB" w:rsidRDefault="00000000" w:rsidP="00D0635A">
            <w:pPr>
              <w:jc w:val="right"/>
              <w:rPr>
                <w:rFonts w:ascii="Times New Roman" w:eastAsia="Times New Roman" w:hAnsi="Times New Roman" w:cs="Times New Roman"/>
                <w:lang w:val="sr-Cyrl-CS" w:eastAsia="en-GB"/>
              </w:rPr>
            </w:pPr>
            <w:hyperlink r:id="rId12" w:history="1">
              <w:r w:rsidR="00275729" w:rsidRPr="004831AB">
                <w:rPr>
                  <w:rStyle w:val="Hyperlink"/>
                  <w:rFonts w:ascii="Times New Roman" w:eastAsia="Times New Roman" w:hAnsi="Times New Roman" w:cs="Times New Roman"/>
                  <w:color w:val="auto"/>
                  <w:u w:val="none"/>
                  <w:lang w:val="sr-Cyrl-CS" w:eastAsia="en-GB"/>
                </w:rPr>
                <w:t>72</w:t>
              </w:r>
            </w:hyperlink>
            <w:r w:rsidR="00275729" w:rsidRPr="004831AB">
              <w:rPr>
                <w:rFonts w:ascii="Times New Roman" w:eastAsia="Times New Roman" w:hAnsi="Times New Roman" w:cs="Times New Roman"/>
                <w:lang w:val="sr-Cyrl-CS" w:eastAsia="en-GB"/>
              </w:rPr>
              <w:t>/141</w:t>
            </w:r>
          </w:p>
        </w:tc>
        <w:tc>
          <w:tcPr>
            <w:tcW w:w="785" w:type="pct"/>
            <w:tcBorders>
              <w:left w:val="nil"/>
              <w:right w:val="nil"/>
            </w:tcBorders>
          </w:tcPr>
          <w:p w14:paraId="44C35EE8"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у потпуности остварен</w:t>
            </w:r>
          </w:p>
        </w:tc>
      </w:tr>
      <w:tr w:rsidR="00275729" w:rsidRPr="004831AB" w14:paraId="5B1230D4" w14:textId="77777777" w:rsidTr="005C7E6F">
        <w:trPr>
          <w:trHeight w:val="280"/>
        </w:trPr>
        <w:tc>
          <w:tcPr>
            <w:tcW w:w="5000" w:type="pct"/>
            <w:gridSpan w:val="6"/>
            <w:tcBorders>
              <w:left w:val="nil"/>
              <w:right w:val="nil"/>
            </w:tcBorders>
          </w:tcPr>
          <w:p w14:paraId="6A65B65E"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УНАПРЕЂЕЊЕ ПРИСТУПА ИЗВОРИМА ФИНАНСИРАЊА</w:t>
            </w:r>
          </w:p>
        </w:tc>
      </w:tr>
      <w:tr w:rsidR="007C67E2" w:rsidRPr="004831AB" w14:paraId="3FB57F67" w14:textId="77777777" w:rsidTr="005C7E6F">
        <w:trPr>
          <w:trHeight w:val="280"/>
        </w:trPr>
        <w:tc>
          <w:tcPr>
            <w:tcW w:w="320" w:type="pct"/>
            <w:tcBorders>
              <w:left w:val="nil"/>
              <w:right w:val="nil"/>
            </w:tcBorders>
          </w:tcPr>
          <w:p w14:paraId="63E81872"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3.</w:t>
            </w:r>
          </w:p>
        </w:tc>
        <w:tc>
          <w:tcPr>
            <w:tcW w:w="2355" w:type="pct"/>
            <w:tcBorders>
              <w:left w:val="nil"/>
              <w:right w:val="nil"/>
            </w:tcBorders>
            <w:shd w:val="clear" w:color="auto" w:fill="auto"/>
            <w:noWrap/>
          </w:tcPr>
          <w:p w14:paraId="59FEA8AD"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 xml:space="preserve">Доступност финансијских </w:t>
            </w:r>
            <w:r w:rsidRPr="004831AB">
              <w:rPr>
                <w:rFonts w:ascii="Times New Roman" w:hAnsi="Times New Roman" w:cs="Times New Roman"/>
                <w:lang w:val="sr-Cyrl-CS"/>
              </w:rPr>
              <w:br/>
              <w:t>услуга резултат/ранг</w:t>
            </w:r>
          </w:p>
        </w:tc>
        <w:tc>
          <w:tcPr>
            <w:tcW w:w="470" w:type="pct"/>
            <w:tcBorders>
              <w:left w:val="nil"/>
              <w:right w:val="nil"/>
            </w:tcBorders>
            <w:shd w:val="clear" w:color="auto" w:fill="auto"/>
          </w:tcPr>
          <w:p w14:paraId="1999D7D5"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98/144</w:t>
            </w:r>
          </w:p>
        </w:tc>
        <w:tc>
          <w:tcPr>
            <w:tcW w:w="453" w:type="pct"/>
            <w:tcBorders>
              <w:left w:val="nil"/>
              <w:right w:val="nil"/>
            </w:tcBorders>
            <w:shd w:val="clear" w:color="auto" w:fill="auto"/>
          </w:tcPr>
          <w:p w14:paraId="3DF9B7D5"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300E3BB9" w14:textId="77777777" w:rsidR="00275729" w:rsidRPr="004831AB" w:rsidRDefault="00000000" w:rsidP="00D0635A">
            <w:pPr>
              <w:jc w:val="right"/>
              <w:rPr>
                <w:rFonts w:ascii="Times New Roman" w:eastAsia="Times New Roman" w:hAnsi="Times New Roman" w:cs="Times New Roman"/>
                <w:lang w:val="sr-Cyrl-CS" w:eastAsia="en-GB"/>
              </w:rPr>
            </w:pPr>
            <w:hyperlink r:id="rId13" w:history="1">
              <w:r w:rsidR="00275729" w:rsidRPr="004831AB">
                <w:rPr>
                  <w:rStyle w:val="Hyperlink"/>
                  <w:rFonts w:ascii="Times New Roman" w:eastAsia="Times New Roman" w:hAnsi="Times New Roman" w:cs="Times New Roman"/>
                  <w:color w:val="auto"/>
                  <w:u w:val="none"/>
                  <w:lang w:val="sr-Cyrl-CS" w:eastAsia="en-GB"/>
                </w:rPr>
                <w:t>69</w:t>
              </w:r>
            </w:hyperlink>
            <w:r w:rsidR="00275729" w:rsidRPr="004831AB">
              <w:rPr>
                <w:rFonts w:ascii="Times New Roman" w:eastAsia="Times New Roman" w:hAnsi="Times New Roman" w:cs="Times New Roman"/>
                <w:lang w:val="sr-Cyrl-CS" w:eastAsia="en-GB"/>
              </w:rPr>
              <w:t>/141</w:t>
            </w:r>
          </w:p>
        </w:tc>
        <w:tc>
          <w:tcPr>
            <w:tcW w:w="785" w:type="pct"/>
            <w:tcBorders>
              <w:left w:val="nil"/>
              <w:right w:val="nil"/>
            </w:tcBorders>
          </w:tcPr>
          <w:p w14:paraId="2D15FDC7"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у потпуности остварен, али је евидентно унапређење</w:t>
            </w:r>
          </w:p>
        </w:tc>
      </w:tr>
      <w:tr w:rsidR="007C67E2" w:rsidRPr="004831AB" w14:paraId="1EB1A3E7" w14:textId="77777777" w:rsidTr="005C7E6F">
        <w:trPr>
          <w:trHeight w:val="280"/>
        </w:trPr>
        <w:tc>
          <w:tcPr>
            <w:tcW w:w="320" w:type="pct"/>
            <w:tcBorders>
              <w:left w:val="nil"/>
              <w:right w:val="nil"/>
            </w:tcBorders>
          </w:tcPr>
          <w:p w14:paraId="30E57087"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4.</w:t>
            </w:r>
          </w:p>
        </w:tc>
        <w:tc>
          <w:tcPr>
            <w:tcW w:w="2355" w:type="pct"/>
            <w:tcBorders>
              <w:left w:val="nil"/>
              <w:right w:val="nil"/>
            </w:tcBorders>
            <w:shd w:val="clear" w:color="auto" w:fill="auto"/>
            <w:noWrap/>
          </w:tcPr>
          <w:p w14:paraId="6D1ACA46"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 xml:space="preserve">Приступачност финансијских </w:t>
            </w:r>
            <w:r w:rsidRPr="004831AB">
              <w:rPr>
                <w:rFonts w:ascii="Times New Roman" w:hAnsi="Times New Roman" w:cs="Times New Roman"/>
                <w:lang w:val="sr-Cyrl-CS"/>
              </w:rPr>
              <w:br/>
              <w:t>услуга резултат/ранг</w:t>
            </w:r>
          </w:p>
        </w:tc>
        <w:tc>
          <w:tcPr>
            <w:tcW w:w="470" w:type="pct"/>
            <w:tcBorders>
              <w:left w:val="nil"/>
              <w:right w:val="nil"/>
            </w:tcBorders>
            <w:shd w:val="clear" w:color="auto" w:fill="auto"/>
          </w:tcPr>
          <w:p w14:paraId="37CEDA76"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110/144</w:t>
            </w:r>
          </w:p>
        </w:tc>
        <w:tc>
          <w:tcPr>
            <w:tcW w:w="453" w:type="pct"/>
            <w:tcBorders>
              <w:left w:val="nil"/>
              <w:right w:val="nil"/>
            </w:tcBorders>
            <w:shd w:val="clear" w:color="auto" w:fill="auto"/>
          </w:tcPr>
          <w:p w14:paraId="159FC49A"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2D45F25B" w14:textId="77777777" w:rsidR="00275729" w:rsidRPr="004831AB" w:rsidRDefault="00000000" w:rsidP="00D0635A">
            <w:pPr>
              <w:jc w:val="right"/>
              <w:rPr>
                <w:rFonts w:ascii="Times New Roman" w:eastAsia="Times New Roman" w:hAnsi="Times New Roman" w:cs="Times New Roman"/>
                <w:lang w:val="sr-Cyrl-CS" w:eastAsia="en-GB"/>
              </w:rPr>
            </w:pPr>
            <w:hyperlink r:id="rId14" w:history="1">
              <w:r w:rsidR="00275729" w:rsidRPr="004831AB">
                <w:rPr>
                  <w:rStyle w:val="Hyperlink"/>
                  <w:rFonts w:ascii="Times New Roman" w:eastAsia="Times New Roman" w:hAnsi="Times New Roman" w:cs="Times New Roman"/>
                  <w:color w:val="auto"/>
                  <w:u w:val="none"/>
                  <w:lang w:val="sr-Cyrl-CS" w:eastAsia="en-GB"/>
                </w:rPr>
                <w:t>65</w:t>
              </w:r>
            </w:hyperlink>
            <w:r w:rsidR="00275729" w:rsidRPr="004831AB">
              <w:rPr>
                <w:rFonts w:ascii="Times New Roman" w:eastAsia="Times New Roman" w:hAnsi="Times New Roman" w:cs="Times New Roman"/>
                <w:lang w:val="sr-Cyrl-CS" w:eastAsia="en-GB"/>
              </w:rPr>
              <w:t>/141</w:t>
            </w:r>
          </w:p>
        </w:tc>
        <w:tc>
          <w:tcPr>
            <w:tcW w:w="785" w:type="pct"/>
            <w:tcBorders>
              <w:left w:val="nil"/>
              <w:right w:val="nil"/>
            </w:tcBorders>
          </w:tcPr>
          <w:p w14:paraId="6F6F5F8D"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у потпуности остварен, али је евидентно унапређење</w:t>
            </w:r>
          </w:p>
        </w:tc>
      </w:tr>
      <w:tr w:rsidR="00275729" w:rsidRPr="004831AB" w14:paraId="42DB684F" w14:textId="77777777" w:rsidTr="005C7E6F">
        <w:trPr>
          <w:trHeight w:val="280"/>
        </w:trPr>
        <w:tc>
          <w:tcPr>
            <w:tcW w:w="5000" w:type="pct"/>
            <w:gridSpan w:val="6"/>
            <w:tcBorders>
              <w:left w:val="nil"/>
              <w:right w:val="nil"/>
            </w:tcBorders>
          </w:tcPr>
          <w:p w14:paraId="1FE99C2D" w14:textId="77777777" w:rsidR="00B441E7" w:rsidRPr="004831AB" w:rsidRDefault="00B441E7" w:rsidP="00D0635A">
            <w:pPr>
              <w:rPr>
                <w:rFonts w:ascii="Times New Roman" w:eastAsia="Times New Roman" w:hAnsi="Times New Roman" w:cs="Times New Roman"/>
                <w:bCs/>
                <w:lang w:val="sr-Cyrl-CS" w:eastAsia="en-GB"/>
              </w:rPr>
            </w:pPr>
          </w:p>
          <w:p w14:paraId="60193A38"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КОНТИНУИРАНИ РАЗВОЈ ЉУДСКИХ РЕСУРСА</w:t>
            </w:r>
          </w:p>
        </w:tc>
      </w:tr>
      <w:tr w:rsidR="007C67E2" w:rsidRPr="004831AB" w14:paraId="6F116EA6" w14:textId="77777777" w:rsidTr="005C7E6F">
        <w:trPr>
          <w:trHeight w:val="280"/>
        </w:trPr>
        <w:tc>
          <w:tcPr>
            <w:tcW w:w="320" w:type="pct"/>
            <w:tcBorders>
              <w:left w:val="nil"/>
              <w:right w:val="nil"/>
            </w:tcBorders>
          </w:tcPr>
          <w:p w14:paraId="763D831A"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5.</w:t>
            </w:r>
          </w:p>
        </w:tc>
        <w:tc>
          <w:tcPr>
            <w:tcW w:w="2355" w:type="pct"/>
            <w:tcBorders>
              <w:left w:val="nil"/>
              <w:right w:val="nil"/>
            </w:tcBorders>
            <w:shd w:val="clear" w:color="auto" w:fill="auto"/>
            <w:noWrap/>
          </w:tcPr>
          <w:p w14:paraId="30DB6592"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 xml:space="preserve">Високо образовање </w:t>
            </w:r>
            <w:r w:rsidRPr="004831AB">
              <w:rPr>
                <w:rFonts w:ascii="Times New Roman" w:hAnsi="Times New Roman" w:cs="Times New Roman"/>
                <w:lang w:val="sr-Cyrl-CS"/>
              </w:rPr>
              <w:br/>
              <w:t>и обука</w:t>
            </w:r>
          </w:p>
        </w:tc>
        <w:tc>
          <w:tcPr>
            <w:tcW w:w="470" w:type="pct"/>
            <w:tcBorders>
              <w:left w:val="nil"/>
              <w:right w:val="nil"/>
            </w:tcBorders>
            <w:shd w:val="clear" w:color="auto" w:fill="auto"/>
          </w:tcPr>
          <w:p w14:paraId="6BD465E2"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74/144</w:t>
            </w:r>
          </w:p>
        </w:tc>
        <w:tc>
          <w:tcPr>
            <w:tcW w:w="453" w:type="pct"/>
            <w:tcBorders>
              <w:left w:val="nil"/>
              <w:right w:val="nil"/>
            </w:tcBorders>
            <w:shd w:val="clear" w:color="auto" w:fill="auto"/>
          </w:tcPr>
          <w:p w14:paraId="4E5572C1"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3F20466E" w14:textId="77777777" w:rsidR="00275729" w:rsidRPr="004831AB" w:rsidRDefault="00000000" w:rsidP="00D0635A">
            <w:pPr>
              <w:jc w:val="right"/>
              <w:rPr>
                <w:rFonts w:ascii="Times New Roman" w:eastAsia="Times New Roman" w:hAnsi="Times New Roman" w:cs="Times New Roman"/>
                <w:lang w:val="sr-Cyrl-CS" w:eastAsia="en-GB"/>
              </w:rPr>
            </w:pPr>
            <w:hyperlink r:id="rId15" w:history="1">
              <w:r w:rsidR="00275729" w:rsidRPr="004831AB">
                <w:rPr>
                  <w:rStyle w:val="Hyperlink"/>
                  <w:rFonts w:ascii="Times New Roman" w:eastAsia="Times New Roman" w:hAnsi="Times New Roman" w:cs="Times New Roman"/>
                  <w:color w:val="auto"/>
                  <w:u w:val="none"/>
                  <w:lang w:val="sr-Cyrl-CS" w:eastAsia="en-GB"/>
                </w:rPr>
                <w:t>75</w:t>
              </w:r>
            </w:hyperlink>
            <w:r w:rsidR="00275729" w:rsidRPr="004831AB">
              <w:rPr>
                <w:rFonts w:ascii="Times New Roman" w:eastAsia="Times New Roman" w:hAnsi="Times New Roman" w:cs="Times New Roman"/>
                <w:lang w:val="sr-Cyrl-CS" w:eastAsia="en-GB"/>
              </w:rPr>
              <w:t>/141</w:t>
            </w:r>
          </w:p>
        </w:tc>
        <w:tc>
          <w:tcPr>
            <w:tcW w:w="785" w:type="pct"/>
            <w:tcBorders>
              <w:left w:val="nil"/>
              <w:right w:val="nil"/>
            </w:tcBorders>
          </w:tcPr>
          <w:p w14:paraId="543ACE84"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остварен</w:t>
            </w:r>
          </w:p>
        </w:tc>
      </w:tr>
      <w:tr w:rsidR="00275729" w:rsidRPr="004831AB" w14:paraId="39E3039A" w14:textId="77777777" w:rsidTr="005C7E6F">
        <w:trPr>
          <w:trHeight w:val="280"/>
        </w:trPr>
        <w:tc>
          <w:tcPr>
            <w:tcW w:w="5000" w:type="pct"/>
            <w:gridSpan w:val="6"/>
            <w:tcBorders>
              <w:left w:val="nil"/>
              <w:right w:val="nil"/>
            </w:tcBorders>
          </w:tcPr>
          <w:p w14:paraId="0ACEC833"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lastRenderedPageBreak/>
              <w:t>ЈАЧАЊЕ ОДРЖИВОСТИ И КОНКУРЕНТНОСТИ МСПП</w:t>
            </w:r>
          </w:p>
        </w:tc>
      </w:tr>
      <w:tr w:rsidR="007C67E2" w:rsidRPr="004831AB" w14:paraId="73F6D1DA" w14:textId="77777777" w:rsidTr="005C7E6F">
        <w:trPr>
          <w:trHeight w:val="280"/>
        </w:trPr>
        <w:tc>
          <w:tcPr>
            <w:tcW w:w="320" w:type="pct"/>
            <w:tcBorders>
              <w:left w:val="nil"/>
              <w:right w:val="nil"/>
            </w:tcBorders>
          </w:tcPr>
          <w:p w14:paraId="550DF1D4"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6.</w:t>
            </w:r>
          </w:p>
        </w:tc>
        <w:tc>
          <w:tcPr>
            <w:tcW w:w="2355" w:type="pct"/>
            <w:tcBorders>
              <w:left w:val="nil"/>
              <w:right w:val="nil"/>
            </w:tcBorders>
            <w:shd w:val="clear" w:color="auto" w:fill="auto"/>
            <w:noWrap/>
          </w:tcPr>
          <w:p w14:paraId="1303256A" w14:textId="77627E2F" w:rsidR="00275729" w:rsidRPr="004831AB" w:rsidRDefault="00275729" w:rsidP="004831AB">
            <w:pPr>
              <w:rPr>
                <w:rFonts w:ascii="Times New Roman" w:eastAsia="Times New Roman" w:hAnsi="Times New Roman" w:cs="Times New Roman"/>
                <w:lang w:val="sr-Cyrl-CS" w:eastAsia="en-GB"/>
              </w:rPr>
            </w:pPr>
            <w:r w:rsidRPr="004831AB">
              <w:rPr>
                <w:rFonts w:ascii="Times New Roman" w:hAnsi="Times New Roman" w:cs="Times New Roman"/>
                <w:lang w:val="sr-Cyrl-CS"/>
              </w:rPr>
              <w:t>Реална прос</w:t>
            </w:r>
            <w:r w:rsidR="00DD1A6D" w:rsidRPr="004831AB">
              <w:rPr>
                <w:rFonts w:ascii="Times New Roman" w:hAnsi="Times New Roman" w:cs="Times New Roman"/>
                <w:lang w:val="sr-Cyrl-CS"/>
              </w:rPr>
              <w:t>ечна</w:t>
            </w:r>
            <w:r w:rsidRPr="004831AB">
              <w:rPr>
                <w:rFonts w:ascii="Times New Roman" w:hAnsi="Times New Roman" w:cs="Times New Roman"/>
                <w:lang w:val="sr-Cyrl-CS"/>
              </w:rPr>
              <w:t xml:space="preserve"> го</w:t>
            </w:r>
            <w:r w:rsidR="00DD1A6D" w:rsidRPr="004831AB">
              <w:rPr>
                <w:rFonts w:ascii="Times New Roman" w:hAnsi="Times New Roman" w:cs="Times New Roman"/>
                <w:lang w:val="sr-Cyrl-CS"/>
              </w:rPr>
              <w:t>дишња</w:t>
            </w:r>
            <w:r w:rsidRPr="004831AB">
              <w:rPr>
                <w:rFonts w:ascii="Times New Roman" w:hAnsi="Times New Roman" w:cs="Times New Roman"/>
                <w:lang w:val="sr-Cyrl-CS"/>
              </w:rPr>
              <w:t xml:space="preserve"> стопа </w:t>
            </w:r>
            <w:r w:rsidRPr="004831AB">
              <w:rPr>
                <w:rFonts w:ascii="Times New Roman" w:hAnsi="Times New Roman" w:cs="Times New Roman"/>
                <w:lang w:val="sr-Cyrl-CS"/>
              </w:rPr>
              <w:br/>
              <w:t>раста промета МСПП</w:t>
            </w:r>
          </w:p>
        </w:tc>
        <w:tc>
          <w:tcPr>
            <w:tcW w:w="470" w:type="pct"/>
            <w:tcBorders>
              <w:left w:val="nil"/>
              <w:right w:val="nil"/>
            </w:tcBorders>
            <w:shd w:val="clear" w:color="auto" w:fill="auto"/>
          </w:tcPr>
          <w:p w14:paraId="7ABF0D59" w14:textId="77777777" w:rsidR="00275729" w:rsidRPr="004831AB" w:rsidRDefault="00275729" w:rsidP="00D0635A">
            <w:pPr>
              <w:pStyle w:val="NormalWeb"/>
              <w:spacing w:before="0" w:beforeAutospacing="0" w:after="0" w:afterAutospacing="0"/>
              <w:jc w:val="right"/>
              <w:rPr>
                <w:sz w:val="22"/>
                <w:szCs w:val="22"/>
                <w:lang w:val="sr-Cyrl-CS"/>
              </w:rPr>
            </w:pPr>
            <w:r w:rsidRPr="004831AB">
              <w:rPr>
                <w:sz w:val="22"/>
                <w:szCs w:val="22"/>
                <w:lang w:val="sr-Cyrl-CS"/>
              </w:rPr>
              <w:t>-2,9%</w:t>
            </w:r>
          </w:p>
          <w:p w14:paraId="0E70183B"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(2008-2013)</w:t>
            </w:r>
          </w:p>
        </w:tc>
        <w:tc>
          <w:tcPr>
            <w:tcW w:w="453" w:type="pct"/>
            <w:tcBorders>
              <w:left w:val="nil"/>
              <w:right w:val="nil"/>
            </w:tcBorders>
            <w:shd w:val="clear" w:color="auto" w:fill="auto"/>
          </w:tcPr>
          <w:p w14:paraId="7D5E3D83" w14:textId="77777777" w:rsidR="00275729" w:rsidRPr="004831AB" w:rsidRDefault="00275729" w:rsidP="00D0635A">
            <w:pPr>
              <w:pStyle w:val="NormalWeb"/>
              <w:spacing w:before="0" w:beforeAutospacing="0" w:after="0" w:afterAutospacing="0"/>
              <w:jc w:val="right"/>
              <w:rPr>
                <w:sz w:val="22"/>
                <w:szCs w:val="22"/>
                <w:lang w:val="sr-Cyrl-CS"/>
              </w:rPr>
            </w:pPr>
            <w:r w:rsidRPr="004831AB">
              <w:rPr>
                <w:sz w:val="22"/>
                <w:szCs w:val="22"/>
                <w:lang w:val="sr-Cyrl-CS"/>
              </w:rPr>
              <w:t>4,0%±1</w:t>
            </w:r>
          </w:p>
          <w:p w14:paraId="236ABFA1"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(2015–2020)</w:t>
            </w:r>
          </w:p>
        </w:tc>
        <w:tc>
          <w:tcPr>
            <w:tcW w:w="617" w:type="pct"/>
            <w:tcBorders>
              <w:left w:val="nil"/>
              <w:right w:val="nil"/>
            </w:tcBorders>
            <w:shd w:val="clear" w:color="auto" w:fill="auto"/>
          </w:tcPr>
          <w:p w14:paraId="514652D6" w14:textId="77777777" w:rsidR="00275729" w:rsidRPr="004831AB" w:rsidRDefault="00275729" w:rsidP="00D0635A">
            <w:pPr>
              <w:pStyle w:val="NormalWeb"/>
              <w:spacing w:before="0" w:beforeAutospacing="0" w:after="0" w:afterAutospacing="0"/>
              <w:jc w:val="right"/>
              <w:rPr>
                <w:sz w:val="22"/>
                <w:szCs w:val="22"/>
                <w:lang w:val="sr-Cyrl-CS"/>
              </w:rPr>
            </w:pPr>
            <w:r w:rsidRPr="004831AB">
              <w:rPr>
                <w:sz w:val="22"/>
                <w:szCs w:val="22"/>
                <w:lang w:val="sr-Cyrl-CS"/>
              </w:rPr>
              <w:t>5,7%</w:t>
            </w:r>
          </w:p>
          <w:p w14:paraId="11E4C34C"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(2015-2020)</w:t>
            </w:r>
          </w:p>
        </w:tc>
        <w:tc>
          <w:tcPr>
            <w:tcW w:w="785" w:type="pct"/>
            <w:tcBorders>
              <w:left w:val="nil"/>
              <w:right w:val="nil"/>
            </w:tcBorders>
          </w:tcPr>
          <w:p w14:paraId="1024EF23"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bCs/>
                <w:lang w:val="sr-Cyrl-CS" w:eastAsia="en-GB"/>
              </w:rPr>
              <w:t>Надмашен</w:t>
            </w:r>
          </w:p>
        </w:tc>
      </w:tr>
      <w:tr w:rsidR="007C67E2" w:rsidRPr="004831AB" w14:paraId="51E084BE" w14:textId="77777777" w:rsidTr="005C7E6F">
        <w:trPr>
          <w:trHeight w:val="280"/>
        </w:trPr>
        <w:tc>
          <w:tcPr>
            <w:tcW w:w="320" w:type="pct"/>
            <w:tcBorders>
              <w:left w:val="nil"/>
              <w:right w:val="nil"/>
            </w:tcBorders>
          </w:tcPr>
          <w:p w14:paraId="5EDD849D"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7.</w:t>
            </w:r>
          </w:p>
        </w:tc>
        <w:tc>
          <w:tcPr>
            <w:tcW w:w="2355" w:type="pct"/>
            <w:tcBorders>
              <w:left w:val="nil"/>
              <w:right w:val="nil"/>
            </w:tcBorders>
            <w:shd w:val="clear" w:color="auto" w:fill="auto"/>
            <w:noWrap/>
          </w:tcPr>
          <w:p w14:paraId="733574F1" w14:textId="73DAD25B"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Год</w:t>
            </w:r>
            <w:r w:rsidR="00DD1A6D" w:rsidRPr="004831AB">
              <w:rPr>
                <w:rFonts w:ascii="Times New Roman" w:hAnsi="Times New Roman" w:cs="Times New Roman"/>
                <w:lang w:val="sr-Cyrl-CS"/>
              </w:rPr>
              <w:t>ишња</w:t>
            </w:r>
            <w:r w:rsidRPr="004831AB">
              <w:rPr>
                <w:rFonts w:ascii="Times New Roman" w:hAnsi="Times New Roman" w:cs="Times New Roman"/>
                <w:lang w:val="sr-Cyrl-CS"/>
              </w:rPr>
              <w:t xml:space="preserve"> стопа раста МСП са произв</w:t>
            </w:r>
            <w:r w:rsidR="00DD1A6D" w:rsidRPr="004831AB">
              <w:rPr>
                <w:rFonts w:ascii="Times New Roman" w:hAnsi="Times New Roman" w:cs="Times New Roman"/>
                <w:lang w:val="sr-Cyrl-CS"/>
              </w:rPr>
              <w:t>одним</w:t>
            </w:r>
            <w:r w:rsidRPr="004831AB">
              <w:rPr>
                <w:rFonts w:ascii="Times New Roman" w:hAnsi="Times New Roman" w:cs="Times New Roman"/>
                <w:lang w:val="sr-Cyrl-CS"/>
              </w:rPr>
              <w:t xml:space="preserve"> </w:t>
            </w:r>
            <w:r w:rsidRPr="004831AB">
              <w:rPr>
                <w:rFonts w:ascii="Times New Roman" w:hAnsi="Times New Roman" w:cs="Times New Roman"/>
                <w:lang w:val="sr-Cyrl-CS"/>
              </w:rPr>
              <w:br/>
              <w:t>или процес</w:t>
            </w:r>
            <w:r w:rsidR="00DD1A6D" w:rsidRPr="004831AB">
              <w:rPr>
                <w:rFonts w:ascii="Times New Roman" w:hAnsi="Times New Roman" w:cs="Times New Roman"/>
                <w:lang w:val="sr-Cyrl-CS"/>
              </w:rPr>
              <w:t xml:space="preserve">ним </w:t>
            </w:r>
            <w:r w:rsidRPr="004831AB">
              <w:rPr>
                <w:rFonts w:ascii="Times New Roman" w:hAnsi="Times New Roman" w:cs="Times New Roman"/>
                <w:lang w:val="sr-Cyrl-CS"/>
              </w:rPr>
              <w:t>иновацијама</w:t>
            </w:r>
          </w:p>
        </w:tc>
        <w:tc>
          <w:tcPr>
            <w:tcW w:w="470" w:type="pct"/>
            <w:tcBorders>
              <w:left w:val="nil"/>
              <w:right w:val="nil"/>
            </w:tcBorders>
            <w:shd w:val="clear" w:color="auto" w:fill="auto"/>
          </w:tcPr>
          <w:p w14:paraId="64D42FB2"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10,1%</w:t>
            </w:r>
          </w:p>
        </w:tc>
        <w:tc>
          <w:tcPr>
            <w:tcW w:w="453" w:type="pct"/>
            <w:tcBorders>
              <w:left w:val="nil"/>
              <w:right w:val="nil"/>
            </w:tcBorders>
            <w:shd w:val="clear" w:color="auto" w:fill="auto"/>
          </w:tcPr>
          <w:p w14:paraId="3B369A1A"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13%</w:t>
            </w:r>
          </w:p>
        </w:tc>
        <w:tc>
          <w:tcPr>
            <w:tcW w:w="617" w:type="pct"/>
            <w:tcBorders>
              <w:left w:val="nil"/>
              <w:right w:val="nil"/>
            </w:tcBorders>
            <w:shd w:val="clear" w:color="auto" w:fill="auto"/>
          </w:tcPr>
          <w:p w14:paraId="38C2BA80"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6,96%</w:t>
            </w:r>
          </w:p>
        </w:tc>
        <w:tc>
          <w:tcPr>
            <w:tcW w:w="785" w:type="pct"/>
            <w:tcBorders>
              <w:left w:val="nil"/>
              <w:right w:val="nil"/>
            </w:tcBorders>
          </w:tcPr>
          <w:p w14:paraId="21799F49"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остварен</w:t>
            </w:r>
          </w:p>
        </w:tc>
      </w:tr>
      <w:tr w:rsidR="007C67E2" w:rsidRPr="004831AB" w14:paraId="0EF07BF3" w14:textId="77777777" w:rsidTr="005C7E6F">
        <w:trPr>
          <w:trHeight w:val="280"/>
        </w:trPr>
        <w:tc>
          <w:tcPr>
            <w:tcW w:w="320" w:type="pct"/>
            <w:tcBorders>
              <w:left w:val="nil"/>
              <w:right w:val="nil"/>
            </w:tcBorders>
          </w:tcPr>
          <w:p w14:paraId="2D5142F8"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8.</w:t>
            </w:r>
          </w:p>
        </w:tc>
        <w:tc>
          <w:tcPr>
            <w:tcW w:w="2355" w:type="pct"/>
            <w:tcBorders>
              <w:left w:val="nil"/>
              <w:right w:val="nil"/>
            </w:tcBorders>
            <w:shd w:val="clear" w:color="auto" w:fill="auto"/>
            <w:noWrap/>
          </w:tcPr>
          <w:p w14:paraId="2182E4AF"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Год</w:t>
            </w:r>
            <w:r w:rsidR="00DD1A6D" w:rsidRPr="004831AB">
              <w:rPr>
                <w:rFonts w:ascii="Times New Roman" w:hAnsi="Times New Roman" w:cs="Times New Roman"/>
                <w:lang w:val="sr-Cyrl-CS"/>
              </w:rPr>
              <w:t>ишња</w:t>
            </w:r>
            <w:r w:rsidRPr="004831AB">
              <w:rPr>
                <w:rFonts w:ascii="Times New Roman" w:hAnsi="Times New Roman" w:cs="Times New Roman"/>
                <w:lang w:val="sr-Cyrl-CS"/>
              </w:rPr>
              <w:t xml:space="preserve"> стопа раста МСП са марк</w:t>
            </w:r>
            <w:r w:rsidR="00DD1A6D" w:rsidRPr="004831AB">
              <w:rPr>
                <w:rFonts w:ascii="Times New Roman" w:hAnsi="Times New Roman" w:cs="Times New Roman"/>
                <w:lang w:val="sr-Cyrl-CS"/>
              </w:rPr>
              <w:t>етиншким</w:t>
            </w:r>
            <w:r w:rsidRPr="004831AB">
              <w:rPr>
                <w:rFonts w:ascii="Times New Roman" w:hAnsi="Times New Roman" w:cs="Times New Roman"/>
                <w:lang w:val="sr-Cyrl-CS"/>
              </w:rPr>
              <w:t xml:space="preserve"> </w:t>
            </w:r>
            <w:r w:rsidRPr="004831AB">
              <w:rPr>
                <w:rFonts w:ascii="Times New Roman" w:hAnsi="Times New Roman" w:cs="Times New Roman"/>
                <w:lang w:val="sr-Cyrl-CS"/>
              </w:rPr>
              <w:br/>
              <w:t>или орг</w:t>
            </w:r>
            <w:r w:rsidR="00DD1A6D" w:rsidRPr="004831AB">
              <w:rPr>
                <w:rFonts w:ascii="Times New Roman" w:hAnsi="Times New Roman" w:cs="Times New Roman"/>
                <w:lang w:val="sr-Cyrl-CS"/>
              </w:rPr>
              <w:t xml:space="preserve">анизационим </w:t>
            </w:r>
            <w:r w:rsidRPr="004831AB">
              <w:rPr>
                <w:rFonts w:ascii="Times New Roman" w:hAnsi="Times New Roman" w:cs="Times New Roman"/>
                <w:lang w:val="sr-Cyrl-CS"/>
              </w:rPr>
              <w:t>иновацијама</w:t>
            </w:r>
          </w:p>
        </w:tc>
        <w:tc>
          <w:tcPr>
            <w:tcW w:w="470" w:type="pct"/>
            <w:tcBorders>
              <w:left w:val="nil"/>
              <w:right w:val="nil"/>
            </w:tcBorders>
            <w:shd w:val="clear" w:color="auto" w:fill="auto"/>
          </w:tcPr>
          <w:p w14:paraId="358BD714"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11,7%</w:t>
            </w:r>
          </w:p>
        </w:tc>
        <w:tc>
          <w:tcPr>
            <w:tcW w:w="453" w:type="pct"/>
            <w:tcBorders>
              <w:left w:val="nil"/>
              <w:right w:val="nil"/>
            </w:tcBorders>
            <w:shd w:val="clear" w:color="auto" w:fill="auto"/>
          </w:tcPr>
          <w:p w14:paraId="50C6FB5F"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14%</w:t>
            </w:r>
          </w:p>
        </w:tc>
        <w:tc>
          <w:tcPr>
            <w:tcW w:w="617" w:type="pct"/>
            <w:tcBorders>
              <w:left w:val="nil"/>
              <w:right w:val="nil"/>
            </w:tcBorders>
            <w:shd w:val="clear" w:color="auto" w:fill="auto"/>
          </w:tcPr>
          <w:p w14:paraId="7CA654EF"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5,61%</w:t>
            </w:r>
          </w:p>
        </w:tc>
        <w:tc>
          <w:tcPr>
            <w:tcW w:w="785" w:type="pct"/>
            <w:tcBorders>
              <w:left w:val="nil"/>
              <w:right w:val="nil"/>
            </w:tcBorders>
          </w:tcPr>
          <w:p w14:paraId="14154478"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остварен</w:t>
            </w:r>
          </w:p>
        </w:tc>
      </w:tr>
      <w:tr w:rsidR="007C67E2" w:rsidRPr="004831AB" w14:paraId="058F1E5B" w14:textId="77777777" w:rsidTr="005C7E6F">
        <w:trPr>
          <w:trHeight w:val="280"/>
        </w:trPr>
        <w:tc>
          <w:tcPr>
            <w:tcW w:w="320" w:type="pct"/>
            <w:tcBorders>
              <w:left w:val="nil"/>
              <w:right w:val="nil"/>
            </w:tcBorders>
          </w:tcPr>
          <w:p w14:paraId="3ACFD046" w14:textId="77777777" w:rsidR="00275729" w:rsidRPr="004831AB" w:rsidRDefault="00275729" w:rsidP="00D0635A">
            <w:pPr>
              <w:rPr>
                <w:rFonts w:ascii="Times New Roman" w:hAnsi="Times New Roman" w:cs="Times New Roman"/>
                <w:lang w:val="sr-Cyrl-CS"/>
              </w:rPr>
            </w:pPr>
            <w:r w:rsidRPr="004831AB">
              <w:rPr>
                <w:rFonts w:ascii="Times New Roman" w:hAnsi="Times New Roman" w:cs="Times New Roman"/>
                <w:lang w:val="sr-Cyrl-CS"/>
              </w:rPr>
              <w:t>9.</w:t>
            </w:r>
          </w:p>
        </w:tc>
        <w:tc>
          <w:tcPr>
            <w:tcW w:w="2355" w:type="pct"/>
            <w:tcBorders>
              <w:left w:val="nil"/>
              <w:right w:val="nil"/>
            </w:tcBorders>
            <w:shd w:val="clear" w:color="auto" w:fill="auto"/>
            <w:noWrap/>
          </w:tcPr>
          <w:p w14:paraId="5175F3B5"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 xml:space="preserve">Квалитет локалних </w:t>
            </w:r>
            <w:r w:rsidRPr="004831AB">
              <w:rPr>
                <w:rFonts w:ascii="Times New Roman" w:hAnsi="Times New Roman" w:cs="Times New Roman"/>
                <w:lang w:val="sr-Cyrl-CS"/>
              </w:rPr>
              <w:br/>
              <w:t>добављача</w:t>
            </w:r>
          </w:p>
        </w:tc>
        <w:tc>
          <w:tcPr>
            <w:tcW w:w="470" w:type="pct"/>
            <w:tcBorders>
              <w:left w:val="nil"/>
              <w:right w:val="nil"/>
            </w:tcBorders>
            <w:shd w:val="clear" w:color="auto" w:fill="auto"/>
          </w:tcPr>
          <w:p w14:paraId="35133E45"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98/144</w:t>
            </w:r>
          </w:p>
        </w:tc>
        <w:tc>
          <w:tcPr>
            <w:tcW w:w="453" w:type="pct"/>
            <w:tcBorders>
              <w:left w:val="nil"/>
              <w:right w:val="nil"/>
            </w:tcBorders>
            <w:shd w:val="clear" w:color="auto" w:fill="auto"/>
          </w:tcPr>
          <w:p w14:paraId="3E48BCE6"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У првих 60</w:t>
            </w:r>
          </w:p>
        </w:tc>
        <w:tc>
          <w:tcPr>
            <w:tcW w:w="617" w:type="pct"/>
            <w:tcBorders>
              <w:left w:val="nil"/>
              <w:right w:val="nil"/>
            </w:tcBorders>
            <w:shd w:val="clear" w:color="auto" w:fill="auto"/>
          </w:tcPr>
          <w:p w14:paraId="0783A99C" w14:textId="77777777" w:rsidR="00275729" w:rsidRPr="004831AB" w:rsidRDefault="00000000" w:rsidP="00D0635A">
            <w:pPr>
              <w:jc w:val="right"/>
              <w:rPr>
                <w:rFonts w:ascii="Times New Roman" w:eastAsia="Times New Roman" w:hAnsi="Times New Roman" w:cs="Times New Roman"/>
                <w:lang w:val="sr-Cyrl-CS" w:eastAsia="en-GB"/>
              </w:rPr>
            </w:pPr>
            <w:hyperlink r:id="rId16" w:history="1">
              <w:r w:rsidR="00275729" w:rsidRPr="004831AB">
                <w:rPr>
                  <w:rStyle w:val="Hyperlink"/>
                  <w:rFonts w:ascii="Times New Roman" w:eastAsia="Times New Roman" w:hAnsi="Times New Roman" w:cs="Times New Roman"/>
                  <w:color w:val="auto"/>
                  <w:u w:val="none"/>
                  <w:lang w:val="sr-Cyrl-CS" w:eastAsia="en-GB"/>
                </w:rPr>
                <w:t>54</w:t>
              </w:r>
            </w:hyperlink>
            <w:r w:rsidR="00275729" w:rsidRPr="004831AB">
              <w:rPr>
                <w:rFonts w:ascii="Times New Roman" w:eastAsia="Times New Roman" w:hAnsi="Times New Roman" w:cs="Times New Roman"/>
                <w:lang w:val="sr-Cyrl-CS" w:eastAsia="en-GB"/>
              </w:rPr>
              <w:t>/141</w:t>
            </w:r>
          </w:p>
        </w:tc>
        <w:tc>
          <w:tcPr>
            <w:tcW w:w="785" w:type="pct"/>
            <w:tcBorders>
              <w:left w:val="nil"/>
              <w:right w:val="nil"/>
            </w:tcBorders>
          </w:tcPr>
          <w:p w14:paraId="610E8848" w14:textId="77777777" w:rsidR="00275729" w:rsidRPr="004831AB" w:rsidRDefault="00275729" w:rsidP="00D0635A">
            <w:pPr>
              <w:jc w:val="right"/>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Остварен</w:t>
            </w:r>
          </w:p>
        </w:tc>
      </w:tr>
      <w:tr w:rsidR="00275729" w:rsidRPr="004831AB" w14:paraId="46A4924D" w14:textId="77777777" w:rsidTr="005C7E6F">
        <w:trPr>
          <w:trHeight w:val="280"/>
        </w:trPr>
        <w:tc>
          <w:tcPr>
            <w:tcW w:w="5000" w:type="pct"/>
            <w:gridSpan w:val="6"/>
            <w:tcBorders>
              <w:left w:val="nil"/>
              <w:bottom w:val="nil"/>
              <w:right w:val="nil"/>
            </w:tcBorders>
          </w:tcPr>
          <w:p w14:paraId="5E8C479F" w14:textId="77777777" w:rsidR="00275729" w:rsidRPr="004831AB" w:rsidRDefault="00275729" w:rsidP="00D0635A">
            <w:pPr>
              <w:rPr>
                <w:rFonts w:ascii="Times New Roman" w:eastAsia="Times New Roman" w:hAnsi="Times New Roman" w:cs="Times New Roman"/>
                <w:bCs/>
                <w:lang w:val="sr-Cyrl-CS" w:eastAsia="en-GB"/>
              </w:rPr>
            </w:pPr>
            <w:r w:rsidRPr="004831AB">
              <w:rPr>
                <w:rFonts w:ascii="Times New Roman" w:eastAsia="Times New Roman" w:hAnsi="Times New Roman" w:cs="Times New Roman"/>
                <w:bCs/>
                <w:lang w:val="sr-Cyrl-CS" w:eastAsia="en-GB"/>
              </w:rPr>
              <w:t>УНАПРЕЂЕЊЕ ПРИСТУПА НОВИМ ТРЖИШТИМА</w:t>
            </w:r>
          </w:p>
        </w:tc>
      </w:tr>
      <w:tr w:rsidR="007C67E2" w:rsidRPr="004831AB" w14:paraId="72F298DD" w14:textId="77777777" w:rsidTr="005C7E6F">
        <w:trPr>
          <w:trHeight w:val="280"/>
        </w:trPr>
        <w:tc>
          <w:tcPr>
            <w:tcW w:w="320" w:type="pct"/>
            <w:tcBorders>
              <w:left w:val="nil"/>
              <w:bottom w:val="nil"/>
              <w:right w:val="nil"/>
            </w:tcBorders>
          </w:tcPr>
          <w:p w14:paraId="328D7142" w14:textId="7695FD2A" w:rsidR="00275729" w:rsidRPr="004831AB" w:rsidRDefault="00275729" w:rsidP="00FF3B8A">
            <w:pPr>
              <w:rPr>
                <w:rFonts w:ascii="Times New Roman" w:eastAsia="Times New Roman" w:hAnsi="Times New Roman" w:cs="Times New Roman"/>
                <w:lang w:val="sr-Cyrl-CS" w:eastAsia="en-GB"/>
              </w:rPr>
            </w:pPr>
            <w:r w:rsidRPr="00FF3B8A">
              <w:rPr>
                <w:rFonts w:ascii="Times New Roman" w:eastAsia="Times New Roman" w:hAnsi="Times New Roman" w:cs="Times New Roman"/>
                <w:sz w:val="20"/>
                <w:szCs w:val="20"/>
                <w:lang w:val="sr-Cyrl-CS" w:eastAsia="en-GB"/>
              </w:rPr>
              <w:t>10</w:t>
            </w:r>
            <w:r w:rsidR="00FF3B8A">
              <w:rPr>
                <w:rFonts w:ascii="Times New Roman" w:eastAsia="Times New Roman" w:hAnsi="Times New Roman" w:cs="Times New Roman"/>
                <w:lang w:val="sr-Cyrl-CS" w:eastAsia="en-GB"/>
              </w:rPr>
              <w:t>.</w:t>
            </w:r>
          </w:p>
        </w:tc>
        <w:tc>
          <w:tcPr>
            <w:tcW w:w="2355" w:type="pct"/>
            <w:tcBorders>
              <w:left w:val="nil"/>
              <w:bottom w:val="nil"/>
              <w:right w:val="nil"/>
            </w:tcBorders>
            <w:shd w:val="clear" w:color="auto" w:fill="auto"/>
            <w:noWrap/>
          </w:tcPr>
          <w:p w14:paraId="773ED048"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 xml:space="preserve">Удео извозника у </w:t>
            </w:r>
            <w:r w:rsidRPr="004831AB">
              <w:rPr>
                <w:rFonts w:ascii="Times New Roman" w:eastAsia="Times New Roman" w:hAnsi="Times New Roman" w:cs="Times New Roman"/>
                <w:lang w:val="sr-Cyrl-CS" w:eastAsia="en-GB"/>
              </w:rPr>
              <w:br/>
              <w:t>укупном бр</w:t>
            </w:r>
            <w:r w:rsidR="00DD1A6D" w:rsidRPr="004831AB">
              <w:rPr>
                <w:rFonts w:ascii="Times New Roman" w:eastAsia="Times New Roman" w:hAnsi="Times New Roman" w:cs="Times New Roman"/>
                <w:lang w:val="sr-Cyrl-CS" w:eastAsia="en-GB"/>
              </w:rPr>
              <w:t>оју</w:t>
            </w:r>
            <w:r w:rsidRPr="004831AB">
              <w:rPr>
                <w:rFonts w:ascii="Times New Roman" w:eastAsia="Times New Roman" w:hAnsi="Times New Roman" w:cs="Times New Roman"/>
                <w:lang w:val="sr-Cyrl-CS" w:eastAsia="en-GB"/>
              </w:rPr>
              <w:t xml:space="preserve"> МСПП</w:t>
            </w:r>
          </w:p>
        </w:tc>
        <w:tc>
          <w:tcPr>
            <w:tcW w:w="470" w:type="pct"/>
            <w:tcBorders>
              <w:left w:val="nil"/>
              <w:bottom w:val="nil"/>
              <w:right w:val="nil"/>
            </w:tcBorders>
            <w:shd w:val="clear" w:color="auto" w:fill="auto"/>
          </w:tcPr>
          <w:p w14:paraId="3FC95C28"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4,3%</w:t>
            </w:r>
          </w:p>
        </w:tc>
        <w:tc>
          <w:tcPr>
            <w:tcW w:w="453" w:type="pct"/>
            <w:tcBorders>
              <w:left w:val="nil"/>
              <w:bottom w:val="nil"/>
              <w:right w:val="nil"/>
            </w:tcBorders>
            <w:shd w:val="clear" w:color="auto" w:fill="auto"/>
          </w:tcPr>
          <w:p w14:paraId="2AE14A11"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7%</w:t>
            </w:r>
          </w:p>
        </w:tc>
        <w:tc>
          <w:tcPr>
            <w:tcW w:w="617" w:type="pct"/>
            <w:tcBorders>
              <w:left w:val="nil"/>
              <w:bottom w:val="nil"/>
              <w:right w:val="nil"/>
            </w:tcBorders>
            <w:shd w:val="clear" w:color="auto" w:fill="auto"/>
          </w:tcPr>
          <w:p w14:paraId="1FE3385B"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4,0%</w:t>
            </w:r>
          </w:p>
        </w:tc>
        <w:tc>
          <w:tcPr>
            <w:tcW w:w="785" w:type="pct"/>
            <w:tcBorders>
              <w:left w:val="nil"/>
              <w:bottom w:val="nil"/>
              <w:right w:val="nil"/>
            </w:tcBorders>
          </w:tcPr>
          <w:p w14:paraId="6AF5CE27"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остварен</w:t>
            </w:r>
          </w:p>
        </w:tc>
      </w:tr>
      <w:tr w:rsidR="007C67E2" w:rsidRPr="004831AB" w14:paraId="33FB3240" w14:textId="77777777" w:rsidTr="005C7E6F">
        <w:trPr>
          <w:trHeight w:val="280"/>
        </w:trPr>
        <w:tc>
          <w:tcPr>
            <w:tcW w:w="320" w:type="pct"/>
            <w:tcBorders>
              <w:top w:val="nil"/>
              <w:left w:val="nil"/>
              <w:bottom w:val="single" w:sz="8" w:space="0" w:color="auto"/>
              <w:right w:val="nil"/>
            </w:tcBorders>
          </w:tcPr>
          <w:p w14:paraId="5FDF494C" w14:textId="323F63EE" w:rsidR="00275729" w:rsidRPr="004831AB" w:rsidRDefault="00275729" w:rsidP="00FF3B8A">
            <w:pPr>
              <w:rPr>
                <w:rFonts w:ascii="Times New Roman" w:hAnsi="Times New Roman" w:cs="Times New Roman"/>
                <w:lang w:val="sr-Cyrl-CS"/>
              </w:rPr>
            </w:pPr>
            <w:r w:rsidRPr="004831AB">
              <w:rPr>
                <w:rFonts w:ascii="Times New Roman" w:hAnsi="Times New Roman" w:cs="Times New Roman"/>
                <w:lang w:val="sr-Cyrl-CS"/>
              </w:rPr>
              <w:t>11</w:t>
            </w:r>
            <w:r w:rsidR="00FF3B8A">
              <w:rPr>
                <w:rFonts w:ascii="Times New Roman" w:hAnsi="Times New Roman" w:cs="Times New Roman"/>
                <w:lang w:val="sr-Cyrl-CS"/>
              </w:rPr>
              <w:t>.</w:t>
            </w:r>
          </w:p>
        </w:tc>
        <w:tc>
          <w:tcPr>
            <w:tcW w:w="2355" w:type="pct"/>
            <w:tcBorders>
              <w:top w:val="nil"/>
              <w:left w:val="nil"/>
              <w:bottom w:val="single" w:sz="8" w:space="0" w:color="auto"/>
              <w:right w:val="nil"/>
            </w:tcBorders>
            <w:shd w:val="clear" w:color="auto" w:fill="auto"/>
            <w:noWrap/>
          </w:tcPr>
          <w:p w14:paraId="140BE1EC" w14:textId="77777777" w:rsidR="00275729" w:rsidRPr="004831AB" w:rsidRDefault="00275729" w:rsidP="00D0635A">
            <w:pPr>
              <w:rPr>
                <w:rFonts w:ascii="Times New Roman" w:eastAsia="Times New Roman" w:hAnsi="Times New Roman" w:cs="Times New Roman"/>
                <w:lang w:val="sr-Cyrl-CS" w:eastAsia="en-GB"/>
              </w:rPr>
            </w:pPr>
            <w:r w:rsidRPr="004831AB">
              <w:rPr>
                <w:rFonts w:ascii="Times New Roman" w:hAnsi="Times New Roman" w:cs="Times New Roman"/>
                <w:lang w:val="sr-Cyrl-CS"/>
              </w:rPr>
              <w:t xml:space="preserve">Учешће извоза у укупном </w:t>
            </w:r>
            <w:r w:rsidRPr="004831AB">
              <w:rPr>
                <w:rFonts w:ascii="Times New Roman" w:hAnsi="Times New Roman" w:cs="Times New Roman"/>
                <w:lang w:val="sr-Cyrl-CS"/>
              </w:rPr>
              <w:br/>
              <w:t>промету сектора МСПП</w:t>
            </w:r>
          </w:p>
        </w:tc>
        <w:tc>
          <w:tcPr>
            <w:tcW w:w="470" w:type="pct"/>
            <w:tcBorders>
              <w:top w:val="nil"/>
              <w:left w:val="nil"/>
              <w:bottom w:val="single" w:sz="8" w:space="0" w:color="auto"/>
              <w:right w:val="nil"/>
            </w:tcBorders>
            <w:shd w:val="clear" w:color="auto" w:fill="auto"/>
          </w:tcPr>
          <w:p w14:paraId="26E6D122"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9,1%</w:t>
            </w:r>
          </w:p>
        </w:tc>
        <w:tc>
          <w:tcPr>
            <w:tcW w:w="453" w:type="pct"/>
            <w:tcBorders>
              <w:top w:val="nil"/>
              <w:left w:val="nil"/>
              <w:bottom w:val="single" w:sz="8" w:space="0" w:color="auto"/>
              <w:right w:val="nil"/>
            </w:tcBorders>
            <w:shd w:val="clear" w:color="auto" w:fill="auto"/>
          </w:tcPr>
          <w:p w14:paraId="7FF1DA3E"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14%</w:t>
            </w:r>
          </w:p>
        </w:tc>
        <w:tc>
          <w:tcPr>
            <w:tcW w:w="617" w:type="pct"/>
            <w:tcBorders>
              <w:top w:val="nil"/>
              <w:left w:val="nil"/>
              <w:bottom w:val="single" w:sz="8" w:space="0" w:color="auto"/>
              <w:right w:val="nil"/>
            </w:tcBorders>
            <w:shd w:val="clear" w:color="auto" w:fill="auto"/>
          </w:tcPr>
          <w:p w14:paraId="7C4E7501"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hAnsi="Times New Roman" w:cs="Times New Roman"/>
                <w:lang w:val="sr-Cyrl-CS"/>
              </w:rPr>
              <w:t>9,0%</w:t>
            </w:r>
          </w:p>
        </w:tc>
        <w:tc>
          <w:tcPr>
            <w:tcW w:w="785" w:type="pct"/>
            <w:tcBorders>
              <w:top w:val="nil"/>
              <w:left w:val="nil"/>
              <w:bottom w:val="single" w:sz="8" w:space="0" w:color="auto"/>
              <w:right w:val="nil"/>
            </w:tcBorders>
          </w:tcPr>
          <w:p w14:paraId="68EBAA90" w14:textId="77777777" w:rsidR="00275729" w:rsidRPr="004831AB" w:rsidRDefault="00275729" w:rsidP="00D0635A">
            <w:pPr>
              <w:jc w:val="right"/>
              <w:rPr>
                <w:rFonts w:ascii="Times New Roman" w:eastAsia="Times New Roman" w:hAnsi="Times New Roman" w:cs="Times New Roman"/>
                <w:lang w:val="sr-Cyrl-CS" w:eastAsia="en-GB"/>
              </w:rPr>
            </w:pPr>
            <w:r w:rsidRPr="004831AB">
              <w:rPr>
                <w:rFonts w:ascii="Times New Roman" w:eastAsia="Times New Roman" w:hAnsi="Times New Roman" w:cs="Times New Roman"/>
                <w:lang w:val="sr-Cyrl-CS" w:eastAsia="en-GB"/>
              </w:rPr>
              <w:t>Није остварен</w:t>
            </w:r>
          </w:p>
        </w:tc>
      </w:tr>
    </w:tbl>
    <w:p w14:paraId="46C39638" w14:textId="5CC020DC" w:rsidR="00275729" w:rsidRDefault="00275729" w:rsidP="008F047D">
      <w:pPr>
        <w:spacing w:after="120" w:line="240" w:lineRule="auto"/>
        <w:jc w:val="both"/>
        <w:rPr>
          <w:rFonts w:ascii="Times New Roman" w:hAnsi="Times New Roman" w:cs="Times New Roman"/>
          <w:lang w:val="sr-Cyrl-CS"/>
        </w:rPr>
      </w:pPr>
    </w:p>
    <w:p w14:paraId="51B981DF" w14:textId="77777777" w:rsidR="005C7E6F" w:rsidRPr="004831AB" w:rsidRDefault="005C7E6F" w:rsidP="008F047D">
      <w:pPr>
        <w:spacing w:after="120" w:line="240" w:lineRule="auto"/>
        <w:jc w:val="both"/>
        <w:rPr>
          <w:rFonts w:ascii="Times New Roman" w:hAnsi="Times New Roman" w:cs="Times New Roman"/>
          <w:lang w:val="sr-Cyrl-CS"/>
        </w:rPr>
      </w:pPr>
    </w:p>
    <w:p w14:paraId="5866BB6F" w14:textId="11E01AAE" w:rsidR="007F385C" w:rsidRPr="004831AB" w:rsidRDefault="007F385C" w:rsidP="009F36FE">
      <w:pPr>
        <w:spacing w:after="120"/>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процесу припреме новог документа јавне политике за развој МСПП, а у циљу сагледавања остварених резултата Стратегије МСПП, припремљена је и </w:t>
      </w:r>
      <w:bookmarkStart w:id="9" w:name="_Hlk119500220"/>
      <w:r w:rsidRPr="004831AB">
        <w:rPr>
          <w:rFonts w:ascii="Times New Roman" w:hAnsi="Times New Roman" w:cs="Times New Roman"/>
          <w:iCs/>
          <w:sz w:val="24"/>
          <w:szCs w:val="24"/>
          <w:lang w:val="sr-Cyrl-CS"/>
        </w:rPr>
        <w:t>ex-post</w:t>
      </w:r>
      <w:r w:rsidRPr="004831AB">
        <w:rPr>
          <w:rFonts w:ascii="Times New Roman" w:hAnsi="Times New Roman" w:cs="Times New Roman"/>
          <w:sz w:val="24"/>
          <w:szCs w:val="24"/>
          <w:lang w:val="sr-Cyrl-CS"/>
        </w:rPr>
        <w:t xml:space="preserve"> анализа</w:t>
      </w:r>
      <w:bookmarkEnd w:id="9"/>
      <w:r w:rsidRPr="004831AB">
        <w:rPr>
          <w:rFonts w:ascii="Times New Roman" w:hAnsi="Times New Roman" w:cs="Times New Roman"/>
          <w:sz w:val="24"/>
          <w:szCs w:val="24"/>
          <w:lang w:val="sr-Cyrl-CS"/>
        </w:rPr>
        <w:t xml:space="preserve">. </w:t>
      </w:r>
      <w:r w:rsidRPr="004831AB">
        <w:rPr>
          <w:rFonts w:ascii="Times New Roman" w:hAnsi="Times New Roman" w:cs="Times New Roman"/>
          <w:iCs/>
          <w:sz w:val="24"/>
          <w:szCs w:val="24"/>
          <w:lang w:val="sr-Cyrl-CS"/>
        </w:rPr>
        <w:t>Еx-post</w:t>
      </w:r>
      <w:r w:rsidRPr="004831AB">
        <w:rPr>
          <w:rFonts w:ascii="Times New Roman" w:hAnsi="Times New Roman" w:cs="Times New Roman"/>
          <w:sz w:val="24"/>
          <w:szCs w:val="24"/>
          <w:lang w:val="sr-Cyrl-CS"/>
        </w:rPr>
        <w:t xml:space="preserve"> анализа је спроведена према смерницама Закона о планском систему</w:t>
      </w:r>
      <w:r w:rsidR="001D0623" w:rsidRPr="004831AB">
        <w:rPr>
          <w:rFonts w:ascii="Times New Roman" w:hAnsi="Times New Roman" w:cs="Times New Roman"/>
          <w:sz w:val="24"/>
          <w:szCs w:val="24"/>
          <w:lang w:val="sr-Cyrl-CS"/>
        </w:rPr>
        <w:t xml:space="preserve"> Републике Србије</w:t>
      </w:r>
      <w:r w:rsidRPr="004831AB">
        <w:rPr>
          <w:rFonts w:ascii="Times New Roman" w:hAnsi="Times New Roman" w:cs="Times New Roman"/>
          <w:sz w:val="24"/>
          <w:szCs w:val="24"/>
          <w:lang w:val="sr-Cyrl-CS"/>
        </w:rPr>
        <w:t>, у комбинацији са критеријумима које је развила Организација за ек</w:t>
      </w:r>
      <w:r w:rsidR="00B82B99" w:rsidRPr="004831AB">
        <w:rPr>
          <w:rFonts w:ascii="Times New Roman" w:hAnsi="Times New Roman" w:cs="Times New Roman"/>
          <w:sz w:val="24"/>
          <w:szCs w:val="24"/>
          <w:lang w:val="sr-Cyrl-CS"/>
        </w:rPr>
        <w:t>ономски развој и сарадњу (ОЕЦД)</w:t>
      </w:r>
      <w:r w:rsidRPr="004831AB">
        <w:rPr>
          <w:rFonts w:ascii="Times New Roman" w:hAnsi="Times New Roman" w:cs="Times New Roman"/>
          <w:sz w:val="24"/>
          <w:szCs w:val="24"/>
          <w:lang w:val="sr-Cyrl-CS"/>
        </w:rPr>
        <w:t xml:space="preserve"> и уз прилагођавање специфичностима Стратегије МСПП. На основу тога, анализа је спроведена за шест критеријума, који су подељени на два нивоа: за ниво Стратегије</w:t>
      </w:r>
      <w:r w:rsidR="00693454" w:rsidRPr="004831AB">
        <w:rPr>
          <w:rFonts w:ascii="Times New Roman" w:hAnsi="Times New Roman" w:cs="Times New Roman"/>
          <w:sz w:val="24"/>
          <w:szCs w:val="24"/>
          <w:lang w:val="sr-Cyrl-CS"/>
        </w:rPr>
        <w:t xml:space="preserve"> МСПП</w:t>
      </w:r>
      <w:r w:rsidRPr="004831AB">
        <w:rPr>
          <w:rFonts w:ascii="Times New Roman" w:hAnsi="Times New Roman" w:cs="Times New Roman"/>
          <w:sz w:val="24"/>
          <w:szCs w:val="24"/>
          <w:lang w:val="sr-Cyrl-CS"/>
        </w:rPr>
        <w:t xml:space="preserve"> процењивани су утицај, одрживост и кохерентност, док су за појединачне стубове Стратегије МСПП оцењивани релевантност, делотворност и ефикасност. Методи коришћени приликом </w:t>
      </w:r>
      <w:r w:rsidRPr="004831AB">
        <w:rPr>
          <w:rFonts w:ascii="Times New Roman" w:hAnsi="Times New Roman" w:cs="Times New Roman"/>
          <w:iCs/>
          <w:sz w:val="24"/>
          <w:szCs w:val="24"/>
          <w:lang w:val="sr-Cyrl-CS"/>
        </w:rPr>
        <w:t>ex-post</w:t>
      </w:r>
      <w:r w:rsidRPr="004831AB">
        <w:rPr>
          <w:rFonts w:ascii="Times New Roman" w:hAnsi="Times New Roman" w:cs="Times New Roman"/>
          <w:sz w:val="24"/>
          <w:szCs w:val="24"/>
          <w:lang w:val="sr-Cyrl-CS"/>
        </w:rPr>
        <w:t xml:space="preserve"> анализе, а за прикупљање података, су квалитативни и обухватају фазу архивског истраживања и фазу теренског истраживања. Архивско истраживање се темељило на испитивању постојећих примарних и секундарних извора, док је теренско истраживање претпостављало интервјуе са представницима институција и организација које су учествовале у спровођењу Стратегије. </w:t>
      </w:r>
    </w:p>
    <w:p w14:paraId="78316A09" w14:textId="77777777" w:rsidR="007F385C" w:rsidRPr="004831AB" w:rsidRDefault="007F385C" w:rsidP="009F36FE">
      <w:pPr>
        <w:spacing w:after="120"/>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Основни закључак и општа оцена је да су Стратегија МСПП и њени стубови били врло релевантни и значајни</w:t>
      </w:r>
      <w:r w:rsidR="00307080" w:rsidRPr="004831AB">
        <w:rPr>
          <w:rFonts w:ascii="Times New Roman" w:hAnsi="Times New Roman" w:cs="Times New Roman"/>
          <w:sz w:val="24"/>
          <w:szCs w:val="24"/>
          <w:lang w:val="sr-Cyrl-CS"/>
        </w:rPr>
        <w:t xml:space="preserve"> како у тренутку креирања документа, тако и током реализације</w:t>
      </w:r>
      <w:r w:rsidR="00AF3E45" w:rsidRPr="004831AB">
        <w:rPr>
          <w:rFonts w:ascii="Times New Roman" w:hAnsi="Times New Roman" w:cs="Times New Roman"/>
          <w:sz w:val="24"/>
          <w:szCs w:val="24"/>
          <w:lang w:val="sr-Cyrl-CS"/>
        </w:rPr>
        <w:t xml:space="preserve">. Уједно </w:t>
      </w:r>
      <w:r w:rsidRPr="004831AB">
        <w:rPr>
          <w:rFonts w:ascii="Times New Roman" w:hAnsi="Times New Roman" w:cs="Times New Roman"/>
          <w:sz w:val="24"/>
          <w:szCs w:val="24"/>
          <w:lang w:val="sr-Cyrl-CS"/>
        </w:rPr>
        <w:t>остварен је и важан утицај и делотворност Стратегије МСПП кроз испуњење значајног броја индикатора, а постигнути су и добри резултати</w:t>
      </w:r>
      <w:r w:rsidR="00307080" w:rsidRPr="004831AB">
        <w:rPr>
          <w:rFonts w:ascii="Times New Roman" w:hAnsi="Times New Roman" w:cs="Times New Roman"/>
          <w:sz w:val="24"/>
          <w:szCs w:val="24"/>
          <w:lang w:val="sr-Cyrl-CS"/>
        </w:rPr>
        <w:t xml:space="preserve"> и ефекти</w:t>
      </w:r>
      <w:r w:rsidRPr="004831AB">
        <w:rPr>
          <w:rFonts w:ascii="Times New Roman" w:hAnsi="Times New Roman" w:cs="Times New Roman"/>
          <w:sz w:val="24"/>
          <w:szCs w:val="24"/>
          <w:lang w:val="sr-Cyrl-CS"/>
        </w:rPr>
        <w:t xml:space="preserve">. </w:t>
      </w:r>
    </w:p>
    <w:p w14:paraId="00F57E92" w14:textId="7BB73A05" w:rsidR="00B441E7" w:rsidRPr="004831AB" w:rsidRDefault="007F385C" w:rsidP="00C25ACD">
      <w:pPr>
        <w:spacing w:after="120"/>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 оквиру задатих временских, људских и финансијских ограничења</w:t>
      </w:r>
      <w:r w:rsidR="008C4B19"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 xml:space="preserve">и </w:t>
      </w:r>
      <w:r w:rsidR="00AF3E45" w:rsidRPr="004831AB">
        <w:rPr>
          <w:rFonts w:ascii="Times New Roman" w:hAnsi="Times New Roman" w:cs="Times New Roman"/>
          <w:sz w:val="24"/>
          <w:szCs w:val="24"/>
          <w:lang w:val="sr-Cyrl-CS"/>
        </w:rPr>
        <w:t xml:space="preserve">чињенице </w:t>
      </w:r>
      <w:r w:rsidRPr="004831AB">
        <w:rPr>
          <w:rFonts w:ascii="Times New Roman" w:hAnsi="Times New Roman" w:cs="Times New Roman"/>
          <w:sz w:val="24"/>
          <w:szCs w:val="24"/>
          <w:lang w:val="sr-Cyrl-CS"/>
        </w:rPr>
        <w:t>да се последња година им</w:t>
      </w:r>
      <w:r w:rsid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лементације Стратегије МСПП одвијала у доба светске пандемије COVID-19 и економске кризе њоме узроковане, оцена је да је Стратегија МСПП постигла и више него добре резултате и значајно допринела промоцији предузетништва у </w:t>
      </w:r>
      <w:r w:rsidR="00185D2D" w:rsidRPr="004831AB">
        <w:rPr>
          <w:rFonts w:ascii="Times New Roman" w:hAnsi="Times New Roman" w:cs="Times New Roman"/>
          <w:sz w:val="24"/>
          <w:szCs w:val="24"/>
          <w:lang w:val="sr-Cyrl-CS"/>
        </w:rPr>
        <w:t xml:space="preserve"> Републици </w:t>
      </w:r>
      <w:r w:rsidRPr="004831AB">
        <w:rPr>
          <w:rFonts w:ascii="Times New Roman" w:hAnsi="Times New Roman" w:cs="Times New Roman"/>
          <w:sz w:val="24"/>
          <w:szCs w:val="24"/>
          <w:lang w:val="sr-Cyrl-CS"/>
        </w:rPr>
        <w:lastRenderedPageBreak/>
        <w:t xml:space="preserve">Србији. </w:t>
      </w:r>
      <w:r w:rsidRPr="004831AB">
        <w:rPr>
          <w:rFonts w:ascii="Times New Roman" w:hAnsi="Times New Roman" w:cs="Times New Roman"/>
          <w:iCs/>
          <w:sz w:val="24"/>
          <w:szCs w:val="24"/>
          <w:lang w:val="sr-Cyrl-CS"/>
        </w:rPr>
        <w:t>Еx-post</w:t>
      </w:r>
      <w:r w:rsidRPr="004831AB">
        <w:rPr>
          <w:rFonts w:ascii="Times New Roman" w:hAnsi="Times New Roman" w:cs="Times New Roman"/>
          <w:sz w:val="24"/>
          <w:szCs w:val="24"/>
          <w:lang w:val="sr-Cyrl-CS"/>
        </w:rPr>
        <w:t xml:space="preserve"> анализа констатује и да су одређена унапређења потребна приликом креирања следећег документа јавне политике, која се односе како на процес израде саме политике (укључивање свих релевантних институција и организација, али и самих МСПП од почетка припреме нове стратегије), тако и на садржину новог документа (усмереније мере и активности са фокусом на одрживост и дигитализацију, а у складу са новим оквиром политике на нивоу ЕУ). Поред тога, механизам за праћење спровођења као и извештавање о спровођењу </w:t>
      </w:r>
      <w:r w:rsidR="00693454" w:rsidRPr="004831AB">
        <w:rPr>
          <w:rFonts w:ascii="Times New Roman" w:hAnsi="Times New Roman" w:cs="Times New Roman"/>
          <w:sz w:val="24"/>
          <w:szCs w:val="24"/>
          <w:lang w:val="sr-Cyrl-CS"/>
        </w:rPr>
        <w:t>С</w:t>
      </w:r>
      <w:r w:rsidRPr="004831AB">
        <w:rPr>
          <w:rFonts w:ascii="Times New Roman" w:hAnsi="Times New Roman" w:cs="Times New Roman"/>
          <w:sz w:val="24"/>
          <w:szCs w:val="24"/>
          <w:lang w:val="sr-Cyrl-CS"/>
        </w:rPr>
        <w:t xml:space="preserve">тратегије и пратећег </w:t>
      </w:r>
      <w:r w:rsidR="00754F46"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 xml:space="preserve">кционог плана </w:t>
      </w:r>
      <w:r w:rsidR="00754F46" w:rsidRPr="004831AB">
        <w:rPr>
          <w:rFonts w:ascii="Times New Roman" w:hAnsi="Times New Roman" w:cs="Times New Roman"/>
          <w:sz w:val="24"/>
          <w:szCs w:val="24"/>
          <w:lang w:val="sr-Cyrl-CS"/>
        </w:rPr>
        <w:t xml:space="preserve">за период 2023-2024. године (у даљем тексту: Акциони план) </w:t>
      </w:r>
      <w:r w:rsidR="007222DE" w:rsidRPr="004831AB">
        <w:rPr>
          <w:rFonts w:ascii="Times New Roman" w:hAnsi="Times New Roman" w:cs="Times New Roman"/>
          <w:sz w:val="24"/>
          <w:szCs w:val="24"/>
          <w:lang w:val="sr-Cyrl-CS"/>
        </w:rPr>
        <w:t>потребно је унапредити</w:t>
      </w:r>
      <w:r w:rsidRPr="004831AB">
        <w:rPr>
          <w:rFonts w:ascii="Times New Roman" w:hAnsi="Times New Roman" w:cs="Times New Roman"/>
          <w:sz w:val="24"/>
          <w:szCs w:val="24"/>
          <w:lang w:val="sr-Cyrl-CS"/>
        </w:rPr>
        <w:t xml:space="preserve">. Приликом израде овог документа, у обзир су узети сви закључци и препоруке </w:t>
      </w:r>
      <w:r w:rsidRPr="004831AB">
        <w:rPr>
          <w:rFonts w:ascii="Times New Roman" w:hAnsi="Times New Roman" w:cs="Times New Roman"/>
          <w:iCs/>
          <w:sz w:val="24"/>
          <w:szCs w:val="24"/>
          <w:lang w:val="sr-Cyrl-CS"/>
        </w:rPr>
        <w:t>ex-post</w:t>
      </w:r>
      <w:r w:rsidRPr="004831AB">
        <w:rPr>
          <w:rFonts w:ascii="Times New Roman" w:hAnsi="Times New Roman" w:cs="Times New Roman"/>
          <w:sz w:val="24"/>
          <w:szCs w:val="24"/>
          <w:lang w:val="sr-Cyrl-CS"/>
        </w:rPr>
        <w:t xml:space="preserve"> анализе.</w:t>
      </w:r>
    </w:p>
    <w:p w14:paraId="074277E8" w14:textId="77777777" w:rsidR="00C25ACD" w:rsidRPr="004831AB" w:rsidRDefault="00C25ACD" w:rsidP="00C25ACD">
      <w:pPr>
        <w:spacing w:after="120"/>
        <w:ind w:firstLine="720"/>
        <w:jc w:val="both"/>
        <w:rPr>
          <w:rFonts w:ascii="Times New Roman" w:hAnsi="Times New Roman" w:cs="Times New Roman"/>
          <w:sz w:val="24"/>
          <w:szCs w:val="24"/>
          <w:lang w:val="sr-Cyrl-CS"/>
        </w:rPr>
      </w:pPr>
    </w:p>
    <w:p w14:paraId="6505503F" w14:textId="7C9BCD76" w:rsidR="00820DDC" w:rsidRPr="004831AB" w:rsidRDefault="00894801" w:rsidP="00894801">
      <w:pPr>
        <w:pStyle w:val="Heading2"/>
        <w:ind w:left="360" w:firstLine="0"/>
        <w:rPr>
          <w:b w:val="0"/>
          <w:lang w:val="sr-Cyrl-CS"/>
        </w:rPr>
      </w:pPr>
      <w:r w:rsidRPr="004831AB">
        <w:rPr>
          <w:b w:val="0"/>
          <w:lang w:val="sr-Cyrl-CS"/>
        </w:rPr>
        <w:t xml:space="preserve">3.3. </w:t>
      </w:r>
      <w:r w:rsidR="00820DDC" w:rsidRPr="004831AB">
        <w:rPr>
          <w:b w:val="0"/>
          <w:lang w:val="sr-Cyrl-CS"/>
        </w:rPr>
        <w:t>Анализа проблема</w:t>
      </w:r>
    </w:p>
    <w:p w14:paraId="17E47D59" w14:textId="1485297B" w:rsidR="00561A8E"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Добро уређен </w:t>
      </w:r>
      <w:r w:rsidR="00700549" w:rsidRPr="004831AB">
        <w:rPr>
          <w:rFonts w:ascii="Times New Roman" w:hAnsi="Times New Roman" w:cs="Times New Roman"/>
          <w:sz w:val="24"/>
          <w:szCs w:val="24"/>
          <w:lang w:val="sr-Cyrl-CS"/>
        </w:rPr>
        <w:t xml:space="preserve">правни </w:t>
      </w:r>
      <w:r w:rsidRPr="004831AB">
        <w:rPr>
          <w:rFonts w:ascii="Times New Roman" w:hAnsi="Times New Roman" w:cs="Times New Roman"/>
          <w:sz w:val="24"/>
          <w:szCs w:val="24"/>
          <w:lang w:val="sr-Cyrl-CS"/>
        </w:rPr>
        <w:t>оквир пословања и брзе и једноставне административне процедуре</w:t>
      </w:r>
      <w:r w:rsidR="00700549" w:rsidRPr="004831AB">
        <w:rPr>
          <w:rFonts w:ascii="Times New Roman" w:hAnsi="Times New Roman" w:cs="Times New Roman"/>
          <w:sz w:val="24"/>
          <w:szCs w:val="24"/>
          <w:lang w:val="sr-Cyrl-CS"/>
        </w:rPr>
        <w:t xml:space="preserve"> и правна сигурност</w:t>
      </w:r>
      <w:r w:rsidRPr="004831AB">
        <w:rPr>
          <w:rFonts w:ascii="Times New Roman" w:hAnsi="Times New Roman" w:cs="Times New Roman"/>
          <w:sz w:val="24"/>
          <w:szCs w:val="24"/>
          <w:lang w:val="sr-Cyrl-CS"/>
        </w:rPr>
        <w:t xml:space="preserve"> предуслови су за развој целокупне привреде, па и сектора МСПП.  Иако је у протеклом периоду дошло до значајних побољшања, пре свега кроз оптимизацију и дигитализацију административних поступака, односно увођења сервиса е-Управе, административне баријере у </w:t>
      </w:r>
      <w:r w:rsidR="00700549" w:rsidRPr="004831AB">
        <w:rPr>
          <w:rFonts w:ascii="Times New Roman" w:hAnsi="Times New Roman" w:cs="Times New Roman"/>
          <w:sz w:val="24"/>
          <w:szCs w:val="24"/>
          <w:lang w:val="sr-Cyrl-CS"/>
        </w:rPr>
        <w:t xml:space="preserve">многим </w:t>
      </w:r>
      <w:r w:rsidRPr="004831AB">
        <w:rPr>
          <w:rFonts w:ascii="Times New Roman" w:hAnsi="Times New Roman" w:cs="Times New Roman"/>
          <w:sz w:val="24"/>
          <w:szCs w:val="24"/>
          <w:lang w:val="sr-Cyrl-CS"/>
        </w:rPr>
        <w:t>областима</w:t>
      </w:r>
      <w:r w:rsidR="00700549" w:rsidRPr="004831AB">
        <w:rPr>
          <w:rFonts w:ascii="Times New Roman" w:hAnsi="Times New Roman" w:cs="Times New Roman"/>
          <w:sz w:val="24"/>
          <w:szCs w:val="24"/>
          <w:lang w:val="sr-Cyrl-CS"/>
        </w:rPr>
        <w:t xml:space="preserve"> битним за пословање</w:t>
      </w:r>
      <w:r w:rsidRPr="004831AB">
        <w:rPr>
          <w:rFonts w:ascii="Times New Roman" w:hAnsi="Times New Roman" w:cs="Times New Roman"/>
          <w:sz w:val="24"/>
          <w:szCs w:val="24"/>
          <w:lang w:val="sr-Cyrl-CS"/>
        </w:rPr>
        <w:t xml:space="preserve"> и даље постоје и </w:t>
      </w:r>
      <w:r w:rsidR="00AF3E45" w:rsidRPr="004831AB">
        <w:rPr>
          <w:rFonts w:ascii="Times New Roman" w:hAnsi="Times New Roman" w:cs="Times New Roman"/>
          <w:sz w:val="24"/>
          <w:szCs w:val="24"/>
          <w:lang w:val="sr-Cyrl-CS"/>
        </w:rPr>
        <w:t xml:space="preserve">успоравају </w:t>
      </w:r>
      <w:r w:rsidRPr="004831AB">
        <w:rPr>
          <w:rFonts w:ascii="Times New Roman" w:hAnsi="Times New Roman" w:cs="Times New Roman"/>
          <w:sz w:val="24"/>
          <w:szCs w:val="24"/>
          <w:lang w:val="sr-Cyrl-CS"/>
        </w:rPr>
        <w:t>раст и развој МСПП.</w:t>
      </w:r>
      <w:r w:rsidR="000704CF" w:rsidRPr="004831AB">
        <w:rPr>
          <w:rFonts w:ascii="Times New Roman" w:hAnsi="Times New Roman" w:cs="Times New Roman"/>
          <w:sz w:val="24"/>
          <w:szCs w:val="24"/>
          <w:lang w:val="sr-Cyrl-CS"/>
        </w:rPr>
        <w:t xml:space="preserve"> Започињање пословања, у смислу формалних процедура које је потребно спровести код државних органа како би правно лице или предузетничка радња били регистровани и започели са обављањем делатности су у Републици Србији значајно олакшани. То је препознато како у различитим међународним извештајима, тако и међу самим привредницима. Овај процес је додатно поједностављен и електронском регистрацијом, што доводи до значајне уштеде времена. Ипак, процедуре и време потребно за затварање бизниса, као и спровођење стечајног поступка и даље су компликоване. Једна од препорука ОЕЦД за </w:t>
      </w:r>
      <w:r w:rsidR="00410595" w:rsidRPr="004831AB">
        <w:rPr>
          <w:rFonts w:ascii="Times New Roman" w:hAnsi="Times New Roman" w:cs="Times New Roman"/>
          <w:sz w:val="24"/>
          <w:szCs w:val="24"/>
          <w:lang w:val="sr-Cyrl-CS"/>
        </w:rPr>
        <w:t xml:space="preserve">Републику </w:t>
      </w:r>
      <w:r w:rsidR="000704CF" w:rsidRPr="004831AB">
        <w:rPr>
          <w:rFonts w:ascii="Times New Roman" w:hAnsi="Times New Roman" w:cs="Times New Roman"/>
          <w:sz w:val="24"/>
          <w:szCs w:val="24"/>
          <w:lang w:val="sr-Cyrl-CS"/>
        </w:rPr>
        <w:t>Србију, у оквиру Индекса политике МСПП за 2022. годину, управо се односи и на ову област. Такође, промоција „друге шансе</w:t>
      </w:r>
      <w:r w:rsidR="007E5D5C" w:rsidRPr="004831AB">
        <w:rPr>
          <w:rFonts w:ascii="Times New Roman" w:hAnsi="Times New Roman" w:cs="Times New Roman"/>
          <w:sz w:val="24"/>
          <w:szCs w:val="24"/>
          <w:lang w:val="sr-Cyrl-CS"/>
        </w:rPr>
        <w:t>”</w:t>
      </w:r>
      <w:r w:rsidR="000704CF" w:rsidRPr="004831AB">
        <w:rPr>
          <w:rFonts w:ascii="Times New Roman" w:hAnsi="Times New Roman" w:cs="Times New Roman"/>
          <w:sz w:val="24"/>
          <w:szCs w:val="24"/>
          <w:lang w:val="sr-Cyrl-CS"/>
        </w:rPr>
        <w:t xml:space="preserve"> за привреднике који су на поштен начин затворили свој бизнис</w:t>
      </w:r>
      <w:r w:rsidR="005947F3" w:rsidRPr="004831AB">
        <w:rPr>
          <w:rFonts w:ascii="Times New Roman" w:hAnsi="Times New Roman" w:cs="Times New Roman"/>
          <w:sz w:val="24"/>
          <w:szCs w:val="24"/>
          <w:lang w:val="sr-Cyrl-CS"/>
        </w:rPr>
        <w:t xml:space="preserve"> и подршка за рано упозоравање о проблемима у пословању су</w:t>
      </w:r>
      <w:r w:rsidR="00DC43F5" w:rsidRPr="004831AB">
        <w:rPr>
          <w:rFonts w:ascii="Times New Roman" w:hAnsi="Times New Roman" w:cs="Times New Roman"/>
          <w:sz w:val="24"/>
          <w:szCs w:val="24"/>
          <w:lang w:val="sr-Cyrl-CS"/>
        </w:rPr>
        <w:t xml:space="preserve"> активности на којима </w:t>
      </w:r>
      <w:r w:rsidR="008C4B19" w:rsidRPr="004831AB">
        <w:rPr>
          <w:rFonts w:ascii="Times New Roman" w:hAnsi="Times New Roman" w:cs="Times New Roman"/>
          <w:sz w:val="24"/>
          <w:szCs w:val="24"/>
          <w:lang w:val="sr-Cyrl-CS"/>
        </w:rPr>
        <w:t>треба</w:t>
      </w:r>
      <w:r w:rsidR="00DC43F5" w:rsidRPr="004831AB">
        <w:rPr>
          <w:rFonts w:ascii="Times New Roman" w:hAnsi="Times New Roman" w:cs="Times New Roman"/>
          <w:sz w:val="24"/>
          <w:szCs w:val="24"/>
          <w:lang w:val="sr-Cyrl-CS"/>
        </w:rPr>
        <w:t xml:space="preserve"> радити у наредном периоду.</w:t>
      </w:r>
      <w:r w:rsidR="005947F3" w:rsidRPr="004831AB">
        <w:rPr>
          <w:rFonts w:ascii="Times New Roman" w:hAnsi="Times New Roman" w:cs="Times New Roman"/>
          <w:sz w:val="24"/>
          <w:szCs w:val="24"/>
          <w:lang w:val="sr-Cyrl-CS"/>
        </w:rPr>
        <w:t xml:space="preserve"> </w:t>
      </w:r>
    </w:p>
    <w:p w14:paraId="33A972F5" w14:textId="3E62137E"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Приступ финансијама за МСПП је значајно унапређен, а створене су и законске основе за оснивање фондова предузетног капитала и финансирање МСПП путем капитала у </w:t>
      </w:r>
      <w:r w:rsidR="00B4253D" w:rsidRPr="004831AB">
        <w:rPr>
          <w:rFonts w:ascii="Times New Roman" w:hAnsi="Times New Roman" w:cs="Times New Roman"/>
          <w:sz w:val="24"/>
          <w:szCs w:val="24"/>
          <w:lang w:val="sr-Cyrl-CS"/>
        </w:rPr>
        <w:t xml:space="preserve">Републици </w:t>
      </w:r>
      <w:r w:rsidRPr="004831AB">
        <w:rPr>
          <w:rFonts w:ascii="Times New Roman" w:hAnsi="Times New Roman" w:cs="Times New Roman"/>
          <w:sz w:val="24"/>
          <w:szCs w:val="24"/>
          <w:lang w:val="sr-Cyrl-CS"/>
        </w:rPr>
        <w:t>Србији. Понуда банака је, због повољне ситуације на тржишту и све већег коришћења механизма гаранција доступних преко различитих ЕУ програм</w:t>
      </w:r>
      <w:r w:rsidR="00D57F18"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 xml:space="preserve">, порасла и постала доступнија, као и понуда лизинг кућа. Кроз подршку Министарства привреде, у сарадњи са </w:t>
      </w:r>
      <w:r w:rsidR="00754F46" w:rsidRPr="004831AB">
        <w:rPr>
          <w:rFonts w:ascii="Times New Roman" w:hAnsi="Times New Roman" w:cs="Times New Roman"/>
          <w:sz w:val="24"/>
          <w:szCs w:val="24"/>
          <w:lang w:val="sr-Cyrl-CS"/>
        </w:rPr>
        <w:t xml:space="preserve">ФЗР </w:t>
      </w:r>
      <w:r w:rsidRPr="004831AB">
        <w:rPr>
          <w:rFonts w:ascii="Times New Roman" w:hAnsi="Times New Roman" w:cs="Times New Roman"/>
          <w:sz w:val="24"/>
          <w:szCs w:val="24"/>
          <w:lang w:val="sr-Cyrl-CS"/>
        </w:rPr>
        <w:t xml:space="preserve">и </w:t>
      </w:r>
      <w:r w:rsidR="002C73E3" w:rsidRPr="004831AB">
        <w:rPr>
          <w:rFonts w:ascii="Times New Roman" w:hAnsi="Times New Roman" w:cs="Times New Roman"/>
          <w:sz w:val="24"/>
          <w:szCs w:val="24"/>
          <w:lang w:val="sr-Cyrl-CS"/>
        </w:rPr>
        <w:t>Развојном агенцијом Ср</w:t>
      </w:r>
      <w:r w:rsidR="00205521" w:rsidRPr="004831AB">
        <w:rPr>
          <w:rFonts w:ascii="Times New Roman" w:hAnsi="Times New Roman" w:cs="Times New Roman"/>
          <w:sz w:val="24"/>
          <w:szCs w:val="24"/>
          <w:lang w:val="sr-Cyrl-CS"/>
        </w:rPr>
        <w:t>бије</w:t>
      </w:r>
      <w:r w:rsidR="00754F46" w:rsidRPr="004831AB">
        <w:rPr>
          <w:rFonts w:ascii="Times New Roman" w:hAnsi="Times New Roman" w:cs="Times New Roman"/>
          <w:sz w:val="24"/>
          <w:szCs w:val="24"/>
          <w:lang w:val="sr-Cyrl-CS"/>
        </w:rPr>
        <w:t xml:space="preserve"> (у даљем тексту: РАС)</w:t>
      </w:r>
      <w:r w:rsidRPr="004831AB">
        <w:rPr>
          <w:rFonts w:ascii="Times New Roman" w:hAnsi="Times New Roman" w:cs="Times New Roman"/>
          <w:sz w:val="24"/>
          <w:szCs w:val="24"/>
          <w:lang w:val="sr-Cyrl-CS"/>
        </w:rPr>
        <w:t xml:space="preserve">, МСПП су у протеклом периоду лакше долазила до неопходних средстава за инвестиције уз део бесповратних средстава. Ипак, кредити комерцијалних банака и даље су доминантан вид финансирања предузетника, а последице кризе </w:t>
      </w:r>
      <w:r w:rsidR="009D11BB" w:rsidRPr="004831AB">
        <w:rPr>
          <w:rFonts w:ascii="Times New Roman" w:hAnsi="Times New Roman" w:cs="Times New Roman"/>
          <w:sz w:val="24"/>
          <w:szCs w:val="24"/>
          <w:lang w:val="sr-Cyrl-CS"/>
        </w:rPr>
        <w:t xml:space="preserve">изазване ратним дешавањима </w:t>
      </w:r>
      <w:r w:rsidRPr="004831AB">
        <w:rPr>
          <w:rFonts w:ascii="Times New Roman" w:hAnsi="Times New Roman" w:cs="Times New Roman"/>
          <w:sz w:val="24"/>
          <w:szCs w:val="24"/>
          <w:lang w:val="sr-Cyrl-CS"/>
        </w:rPr>
        <w:t xml:space="preserve">у Украјини значајно су се </w:t>
      </w:r>
      <w:r w:rsidR="009D11BB" w:rsidRPr="004831AB">
        <w:rPr>
          <w:rFonts w:ascii="Times New Roman" w:hAnsi="Times New Roman" w:cs="Times New Roman"/>
          <w:sz w:val="24"/>
          <w:szCs w:val="24"/>
          <w:lang w:val="sr-Cyrl-CS"/>
        </w:rPr>
        <w:t xml:space="preserve">негативно </w:t>
      </w:r>
      <w:r w:rsidRPr="004831AB">
        <w:rPr>
          <w:rFonts w:ascii="Times New Roman" w:hAnsi="Times New Roman" w:cs="Times New Roman"/>
          <w:sz w:val="24"/>
          <w:szCs w:val="24"/>
          <w:lang w:val="sr-Cyrl-CS"/>
        </w:rPr>
        <w:t xml:space="preserve">одразиле на цену и доступност капитала. У ситуацији нове кризе, борба за ликвидност поново постаје приоритет, па је важно да се у наредном </w:t>
      </w:r>
      <w:r w:rsidR="00D57F18" w:rsidRPr="004831AB">
        <w:rPr>
          <w:rFonts w:ascii="Times New Roman" w:hAnsi="Times New Roman" w:cs="Times New Roman"/>
          <w:sz w:val="24"/>
          <w:szCs w:val="24"/>
          <w:lang w:val="sr-Cyrl-CS"/>
        </w:rPr>
        <w:t xml:space="preserve">периоду </w:t>
      </w:r>
      <w:r w:rsidRPr="004831AB">
        <w:rPr>
          <w:rFonts w:ascii="Times New Roman" w:hAnsi="Times New Roman" w:cs="Times New Roman"/>
          <w:sz w:val="24"/>
          <w:szCs w:val="24"/>
          <w:lang w:val="sr-Cyrl-CS"/>
        </w:rPr>
        <w:t xml:space="preserve">посебно обрати пажња на очување ликвидности МСПП, на шта утиче и редовност плаћања, поготово јавног сектора и великих предузећа. </w:t>
      </w:r>
    </w:p>
    <w:p w14:paraId="06AC009E" w14:textId="77777777"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Са побољшањем економске ситуације у земљи</w:t>
      </w:r>
      <w:r w:rsidR="00555A3C" w:rsidRPr="004831AB">
        <w:rPr>
          <w:rFonts w:ascii="Times New Roman" w:hAnsi="Times New Roman" w:cs="Times New Roman"/>
          <w:sz w:val="24"/>
          <w:szCs w:val="24"/>
          <w:lang w:val="sr-Cyrl-CS"/>
        </w:rPr>
        <w:t xml:space="preserve"> и падом незапослености, као</w:t>
      </w:r>
      <w:r w:rsidRPr="004831AB">
        <w:rPr>
          <w:rFonts w:ascii="Times New Roman" w:hAnsi="Times New Roman" w:cs="Times New Roman"/>
          <w:sz w:val="24"/>
          <w:szCs w:val="24"/>
          <w:lang w:val="sr-Cyrl-CS"/>
        </w:rPr>
        <w:t xml:space="preserve"> и услед константно</w:t>
      </w:r>
      <w:r w:rsidR="00D57F18" w:rsidRPr="004831AB">
        <w:rPr>
          <w:rFonts w:ascii="Times New Roman" w:hAnsi="Times New Roman" w:cs="Times New Roman"/>
          <w:sz w:val="24"/>
          <w:szCs w:val="24"/>
          <w:lang w:val="sr-Cyrl-CS"/>
        </w:rPr>
        <w:t>г</w:t>
      </w:r>
      <w:r w:rsidRPr="004831AB">
        <w:rPr>
          <w:rFonts w:ascii="Times New Roman" w:hAnsi="Times New Roman" w:cs="Times New Roman"/>
          <w:sz w:val="24"/>
          <w:szCs w:val="24"/>
          <w:lang w:val="sr-Cyrl-CS"/>
        </w:rPr>
        <w:t xml:space="preserve"> тренда миграција и смањења броја становника, све је израженији проблем МСПП да пронађу и задрже потребне кадрове. У данашње време, када су знање и вештине кључни за  </w:t>
      </w:r>
      <w:r w:rsidRPr="004831AB">
        <w:rPr>
          <w:rFonts w:ascii="Times New Roman" w:hAnsi="Times New Roman" w:cs="Times New Roman"/>
          <w:sz w:val="24"/>
          <w:szCs w:val="24"/>
          <w:lang w:val="sr-Cyrl-CS"/>
        </w:rPr>
        <w:lastRenderedPageBreak/>
        <w:t>унапређење конкурентности једне привреде, стручна и способна радна снага, чије су вештине и знања прилагођени захтевима тржишта рада, али и које има у довољној мери да потпомогне раст и развој економије, један је од предуслова успешности не само МСПП већ и читавог друштва. У области усклађивања потреба тржишта рада, кроз развој дуалног образовања у протеклом периоду направљени су значајни помаци. Такође, остварен је одређени напредак и у области увођења предузетничког образовања у образовни систем. Ипак, кадрови представљају дугорочно највише изражен проблем развоја сектора МСПП, којим се мора континуирано бавити.</w:t>
      </w:r>
    </w:p>
    <w:p w14:paraId="0FA05830" w14:textId="43905800"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Пандемија </w:t>
      </w:r>
      <w:r w:rsidR="00AF3E45" w:rsidRPr="004831AB">
        <w:rPr>
          <w:rFonts w:ascii="Times New Roman" w:hAnsi="Times New Roman" w:cs="Times New Roman"/>
          <w:iCs/>
          <w:sz w:val="24"/>
          <w:szCs w:val="24"/>
          <w:lang w:val="sr-Cyrl-CS"/>
        </w:rPr>
        <w:t>COVID-19</w:t>
      </w:r>
      <w:r w:rsidR="00754F46" w:rsidRPr="004831AB">
        <w:rPr>
          <w:rFonts w:ascii="Times New Roman" w:hAnsi="Times New Roman" w:cs="Times New Roman"/>
          <w:i/>
          <w:iCs/>
          <w:sz w:val="24"/>
          <w:szCs w:val="24"/>
          <w:lang w:val="sr-Cyrl-CS"/>
        </w:rPr>
        <w:t xml:space="preserve"> </w:t>
      </w:r>
      <w:r w:rsidRPr="004831AB">
        <w:rPr>
          <w:rFonts w:ascii="Times New Roman" w:hAnsi="Times New Roman" w:cs="Times New Roman"/>
          <w:sz w:val="24"/>
          <w:szCs w:val="24"/>
          <w:lang w:val="sr-Cyrl-CS"/>
        </w:rPr>
        <w:t xml:space="preserve">значајно је утицала на промене у начину пословања, те се све </w:t>
      </w:r>
      <w:r w:rsidR="009D11BB" w:rsidRPr="004831AB">
        <w:rPr>
          <w:rFonts w:ascii="Times New Roman" w:hAnsi="Times New Roman" w:cs="Times New Roman"/>
          <w:sz w:val="24"/>
          <w:szCs w:val="24"/>
          <w:lang w:val="sr-Cyrl-CS"/>
        </w:rPr>
        <w:t>већи број привредних субјеката</w:t>
      </w:r>
      <w:r w:rsidRPr="004831AB">
        <w:rPr>
          <w:rFonts w:ascii="Times New Roman" w:hAnsi="Times New Roman" w:cs="Times New Roman"/>
          <w:sz w:val="24"/>
          <w:szCs w:val="24"/>
          <w:lang w:val="sr-Cyrl-CS"/>
        </w:rPr>
        <w:t>, како привреде генерално, тако и самих МСПП окренуо дигитализациј</w:t>
      </w:r>
      <w:r w:rsidR="009D11BB" w:rsidRPr="004831AB">
        <w:rPr>
          <w:rFonts w:ascii="Times New Roman" w:hAnsi="Times New Roman" w:cs="Times New Roman"/>
          <w:sz w:val="24"/>
          <w:szCs w:val="24"/>
          <w:lang w:val="sr-Cyrl-CS"/>
        </w:rPr>
        <w:t>и</w:t>
      </w:r>
      <w:r w:rsidRPr="004831AB">
        <w:rPr>
          <w:rFonts w:ascii="Times New Roman" w:hAnsi="Times New Roman" w:cs="Times New Roman"/>
          <w:sz w:val="24"/>
          <w:szCs w:val="24"/>
          <w:lang w:val="sr-Cyrl-CS"/>
        </w:rPr>
        <w:t xml:space="preserve"> и е-пословањ</w:t>
      </w:r>
      <w:r w:rsidR="009D11BB" w:rsidRPr="004831AB">
        <w:rPr>
          <w:rFonts w:ascii="Times New Roman" w:hAnsi="Times New Roman" w:cs="Times New Roman"/>
          <w:sz w:val="24"/>
          <w:szCs w:val="24"/>
          <w:lang w:val="sr-Cyrl-CS"/>
        </w:rPr>
        <w:t>у</w:t>
      </w:r>
      <w:r w:rsidRPr="004831AB">
        <w:rPr>
          <w:rFonts w:ascii="Times New Roman" w:hAnsi="Times New Roman" w:cs="Times New Roman"/>
          <w:sz w:val="24"/>
          <w:szCs w:val="24"/>
          <w:lang w:val="sr-Cyrl-CS"/>
        </w:rPr>
        <w:t xml:space="preserve">. МСПП из </w:t>
      </w:r>
      <w:r w:rsidR="005552FA" w:rsidRPr="004831AB">
        <w:rPr>
          <w:rFonts w:ascii="Times New Roman" w:hAnsi="Times New Roman" w:cs="Times New Roman"/>
          <w:sz w:val="24"/>
          <w:szCs w:val="24"/>
          <w:lang w:val="sr-Cyrl-CS"/>
        </w:rPr>
        <w:t xml:space="preserve">Републике </w:t>
      </w:r>
      <w:r w:rsidRPr="004831AB">
        <w:rPr>
          <w:rFonts w:ascii="Times New Roman" w:hAnsi="Times New Roman" w:cs="Times New Roman"/>
          <w:sz w:val="24"/>
          <w:szCs w:val="24"/>
          <w:lang w:val="sr-Cyrl-CS"/>
        </w:rPr>
        <w:t xml:space="preserve">Србије не заостају у приступу широкопојасном интернету и употреби платформи е-трговине у продаји, али имају ниже учешће прихода од продаје путем е-трговине у односу на просек ЕУ. Међутим, софистицираност примене дигиталних технологија је још увек на ниском нивоу. У 2021. години само 1% МСП у </w:t>
      </w:r>
      <w:r w:rsidR="004C2A88" w:rsidRPr="004831AB">
        <w:rPr>
          <w:rFonts w:ascii="Times New Roman" w:hAnsi="Times New Roman" w:cs="Times New Roman"/>
          <w:sz w:val="24"/>
          <w:szCs w:val="24"/>
          <w:lang w:val="sr-Cyrl-CS"/>
        </w:rPr>
        <w:t xml:space="preserve">Републици </w:t>
      </w:r>
      <w:r w:rsidRPr="004831AB">
        <w:rPr>
          <w:rFonts w:ascii="Times New Roman" w:hAnsi="Times New Roman" w:cs="Times New Roman"/>
          <w:sz w:val="24"/>
          <w:szCs w:val="24"/>
          <w:lang w:val="sr-Cyrl-CS"/>
        </w:rPr>
        <w:t xml:space="preserve">Србији (3% у ЕУ) достигло је веома висок ниво дигиталног интензитета, док је 10% достигло висок ниво (18% у ЕУ). Већина МСП у </w:t>
      </w:r>
      <w:r w:rsidR="004C2A88" w:rsidRPr="004831AB">
        <w:rPr>
          <w:rFonts w:ascii="Times New Roman" w:hAnsi="Times New Roman" w:cs="Times New Roman"/>
          <w:sz w:val="24"/>
          <w:szCs w:val="24"/>
          <w:lang w:val="sr-Cyrl-CS"/>
        </w:rPr>
        <w:t xml:space="preserve">Републици </w:t>
      </w:r>
      <w:r w:rsidRPr="004831AB">
        <w:rPr>
          <w:rFonts w:ascii="Times New Roman" w:hAnsi="Times New Roman" w:cs="Times New Roman"/>
          <w:sz w:val="24"/>
          <w:szCs w:val="24"/>
          <w:lang w:val="sr-Cyrl-CS"/>
        </w:rPr>
        <w:t>Србији је забележила низак (31%) или веома низак (58%) ниво дигиталног интензитета, што је испод просека ЕУ. Такође, МСП из дигиталног сектора чине 5,2% свих предузећа, 4,8% запослених и 8,4% БДВ нефинансијског пословног сектора иако ту постоје значајни потенцијали.</w:t>
      </w:r>
    </w:p>
    <w:p w14:paraId="1563D20D" w14:textId="25B1D71D"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Према референтном ЕУ истраживању иновативности </w:t>
      </w:r>
      <w:r w:rsidRPr="004831AB">
        <w:rPr>
          <w:rFonts w:ascii="Times New Roman" w:hAnsi="Times New Roman" w:cs="Times New Roman"/>
          <w:iCs/>
          <w:sz w:val="24"/>
          <w:szCs w:val="24"/>
          <w:lang w:val="sr-Cyrl-CS"/>
        </w:rPr>
        <w:t>European Innovation Scoreboard 2021</w:t>
      </w:r>
      <w:r w:rsidR="00612C81" w:rsidRPr="004831AB">
        <w:rPr>
          <w:rFonts w:ascii="Times New Roman" w:hAnsi="Times New Roman" w:cs="Times New Roman"/>
          <w:sz w:val="24"/>
          <w:szCs w:val="24"/>
          <w:lang w:val="sr-Cyrl-CS"/>
        </w:rPr>
        <w:t xml:space="preserve">, Република </w:t>
      </w:r>
      <w:r w:rsidRPr="004831AB">
        <w:rPr>
          <w:rFonts w:ascii="Times New Roman" w:hAnsi="Times New Roman" w:cs="Times New Roman"/>
          <w:sz w:val="24"/>
          <w:szCs w:val="24"/>
          <w:lang w:val="sr-Cyrl-CS"/>
        </w:rPr>
        <w:t xml:space="preserve">Србија је сврстана у групу иноватора у настајању (4. група земаља) коју одликује најнижи степен иновативности. Иако је у периоду 2015 – 2020. године, значајно унапређен иновациони екосистем и 2021. године </w:t>
      </w:r>
      <w:r w:rsidR="00BD286F" w:rsidRPr="004831AB">
        <w:rPr>
          <w:rFonts w:ascii="Times New Roman" w:hAnsi="Times New Roman" w:cs="Times New Roman"/>
          <w:sz w:val="24"/>
          <w:szCs w:val="24"/>
          <w:lang w:val="sr-Cyrl-CS"/>
        </w:rPr>
        <w:t xml:space="preserve">Република </w:t>
      </w:r>
      <w:r w:rsidRPr="004831AB">
        <w:rPr>
          <w:rFonts w:ascii="Times New Roman" w:hAnsi="Times New Roman" w:cs="Times New Roman"/>
          <w:sz w:val="24"/>
          <w:szCs w:val="24"/>
          <w:lang w:val="sr-Cyrl-CS"/>
        </w:rPr>
        <w:t>Србија бележи побољшање у односу на 2020. годину,</w:t>
      </w:r>
      <w:r w:rsidR="00AF3E45" w:rsidRPr="004831AB">
        <w:rPr>
          <w:rFonts w:ascii="Times New Roman" w:hAnsi="Times New Roman" w:cs="Times New Roman"/>
          <w:sz w:val="24"/>
          <w:szCs w:val="24"/>
          <w:lang w:val="sr-Cyrl-CS"/>
        </w:rPr>
        <w:t xml:space="preserve"> ипак</w:t>
      </w:r>
      <w:r w:rsidRPr="004831AB">
        <w:rPr>
          <w:rFonts w:ascii="Times New Roman" w:hAnsi="Times New Roman" w:cs="Times New Roman"/>
          <w:sz w:val="24"/>
          <w:szCs w:val="24"/>
          <w:lang w:val="sr-Cyrl-CS"/>
        </w:rPr>
        <w:t xml:space="preserve"> према иновационим перформансама значајно заостаје у односу на просек ЕУ и већину европских земаља. </w:t>
      </w:r>
      <w:r w:rsidR="00AF3E45" w:rsidRPr="004831AB">
        <w:rPr>
          <w:rFonts w:ascii="Times New Roman" w:hAnsi="Times New Roman" w:cs="Times New Roman"/>
          <w:sz w:val="24"/>
          <w:szCs w:val="24"/>
          <w:lang w:val="sr-Cyrl-CS"/>
        </w:rPr>
        <w:t>Међутим</w:t>
      </w:r>
      <w:r w:rsidRPr="004831AB">
        <w:rPr>
          <w:rFonts w:ascii="Times New Roman" w:hAnsi="Times New Roman" w:cs="Times New Roman"/>
          <w:sz w:val="24"/>
          <w:szCs w:val="24"/>
          <w:lang w:val="sr-Cyrl-CS"/>
        </w:rPr>
        <w:t xml:space="preserve">, по питању иновација у МСПП (Иновације производа, иновације процеса и сарадња иновативних МСПП), Република Србија бележи резултате знатно боље од просека ЕУ и земаља из окружења, те је потребно искористити тај потенцијал. </w:t>
      </w:r>
    </w:p>
    <w:p w14:paraId="317E016F" w14:textId="77777777"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Сектор МСПП још увек свој раст доминантно базира на домаћем тржишту, а учешће извозника у сектору МСПП стагнира на око 11%. МСПП имају веома ограничен приступ  информацијама о новим тржиштима, контактима са потенцијалним страним купцима и капацитет за укључивање у глобалне ланце вредности. Како би направили искорак у правцу нових тржишта, пословног повезивања и укључивања у ланце добављача, МСПП треба да унапреде не само своје технолошке капацитете, укључујући и примену стандарда, већ и корпоративно управљање и компетенције менаџмента.</w:t>
      </w:r>
    </w:p>
    <w:p w14:paraId="4A09C874" w14:textId="4572A3BF"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Посебно важна област кој</w:t>
      </w:r>
      <w:r w:rsidR="001439E1" w:rsidRPr="004831AB">
        <w:rPr>
          <w:rFonts w:ascii="Times New Roman" w:hAnsi="Times New Roman" w:cs="Times New Roman"/>
          <w:sz w:val="24"/>
          <w:szCs w:val="24"/>
          <w:lang w:val="sr-Cyrl-CS"/>
        </w:rPr>
        <w:t xml:space="preserve">а није </w:t>
      </w:r>
      <w:r w:rsidR="008575FB" w:rsidRPr="004831AB">
        <w:rPr>
          <w:rFonts w:ascii="Times New Roman" w:hAnsi="Times New Roman" w:cs="Times New Roman"/>
          <w:sz w:val="24"/>
          <w:szCs w:val="24"/>
          <w:lang w:val="sr-Cyrl-CS"/>
        </w:rPr>
        <w:t>оптимално</w:t>
      </w:r>
      <w:r w:rsidRPr="004831AB">
        <w:rPr>
          <w:rFonts w:ascii="Times New Roman" w:hAnsi="Times New Roman" w:cs="Times New Roman"/>
          <w:sz w:val="24"/>
          <w:szCs w:val="24"/>
          <w:lang w:val="sr-Cyrl-CS"/>
        </w:rPr>
        <w:t xml:space="preserve"> </w:t>
      </w:r>
      <w:r w:rsidR="001439E1" w:rsidRPr="004831AB">
        <w:rPr>
          <w:rFonts w:ascii="Times New Roman" w:hAnsi="Times New Roman" w:cs="Times New Roman"/>
          <w:sz w:val="24"/>
          <w:szCs w:val="24"/>
          <w:lang w:val="sr-Cyrl-CS"/>
        </w:rPr>
        <w:t>разматрана</w:t>
      </w:r>
      <w:r w:rsidRPr="004831AB">
        <w:rPr>
          <w:rFonts w:ascii="Times New Roman" w:hAnsi="Times New Roman" w:cs="Times New Roman"/>
          <w:sz w:val="24"/>
          <w:szCs w:val="24"/>
          <w:lang w:val="sr-Cyrl-CS"/>
        </w:rPr>
        <w:t xml:space="preserve"> односи се на усклађивање пословање МСПП са принципима зеленог пословања. Усклађивање са еколошким захтевима пословања, смањење емисије штетних гасова, коришћење обновљивих извора енергије, енергетска ефикасност, ефикасна употреба ресурса</w:t>
      </w:r>
      <w:r w:rsidR="009D11BB" w:rsidRPr="004831AB">
        <w:rPr>
          <w:rFonts w:ascii="Times New Roman" w:hAnsi="Times New Roman" w:cs="Times New Roman"/>
          <w:sz w:val="24"/>
          <w:szCs w:val="24"/>
          <w:lang w:val="sr-Cyrl-CS"/>
        </w:rPr>
        <w:t>, смањење загађења ваздуха, воде и земљишта</w:t>
      </w:r>
      <w:r w:rsidRPr="004831AB">
        <w:rPr>
          <w:rFonts w:ascii="Times New Roman" w:hAnsi="Times New Roman" w:cs="Times New Roman"/>
          <w:sz w:val="24"/>
          <w:szCs w:val="24"/>
          <w:lang w:val="sr-Cyrl-CS"/>
        </w:rPr>
        <w:t xml:space="preserve"> и циркуларна економија су теме које су сада постале релевантне за свако МСПП како због непосредног утицаја неизвесности</w:t>
      </w:r>
      <w:r w:rsidR="009D11BB" w:rsidRPr="004831AB">
        <w:rPr>
          <w:rFonts w:ascii="Times New Roman" w:hAnsi="Times New Roman" w:cs="Times New Roman"/>
          <w:sz w:val="24"/>
          <w:szCs w:val="24"/>
          <w:lang w:val="sr-Cyrl-CS"/>
        </w:rPr>
        <w:t xml:space="preserve"> снабдев</w:t>
      </w:r>
      <w:r w:rsidR="004831AB">
        <w:rPr>
          <w:rFonts w:ascii="Times New Roman" w:hAnsi="Times New Roman" w:cs="Times New Roman"/>
          <w:sz w:val="24"/>
          <w:szCs w:val="24"/>
          <w:lang w:val="sr-Cyrl-CS"/>
        </w:rPr>
        <w:t>а</w:t>
      </w:r>
      <w:r w:rsidR="009D11BB" w:rsidRPr="004831AB">
        <w:rPr>
          <w:rFonts w:ascii="Times New Roman" w:hAnsi="Times New Roman" w:cs="Times New Roman"/>
          <w:sz w:val="24"/>
          <w:szCs w:val="24"/>
          <w:lang w:val="sr-Cyrl-CS"/>
        </w:rPr>
        <w:t>ња</w:t>
      </w:r>
      <w:r w:rsidRPr="004831AB">
        <w:rPr>
          <w:rFonts w:ascii="Times New Roman" w:hAnsi="Times New Roman" w:cs="Times New Roman"/>
          <w:sz w:val="24"/>
          <w:szCs w:val="24"/>
          <w:lang w:val="sr-Cyrl-CS"/>
        </w:rPr>
        <w:t xml:space="preserve"> и поскупљења </w:t>
      </w:r>
      <w:r w:rsidR="009D11BB" w:rsidRPr="004831AB">
        <w:rPr>
          <w:rFonts w:ascii="Times New Roman" w:hAnsi="Times New Roman" w:cs="Times New Roman"/>
          <w:sz w:val="24"/>
          <w:szCs w:val="24"/>
          <w:lang w:val="sr-Cyrl-CS"/>
        </w:rPr>
        <w:t>цене</w:t>
      </w:r>
      <w:r w:rsidRPr="004831AB">
        <w:rPr>
          <w:rFonts w:ascii="Times New Roman" w:hAnsi="Times New Roman" w:cs="Times New Roman"/>
          <w:sz w:val="24"/>
          <w:szCs w:val="24"/>
          <w:lang w:val="sr-Cyrl-CS"/>
        </w:rPr>
        <w:t xml:space="preserve"> енерген</w:t>
      </w:r>
      <w:r w:rsidR="009D11BB"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т</w:t>
      </w:r>
      <w:r w:rsidR="00DD4996"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 xml:space="preserve"> тако и због неопходности прилагођавања захтевима ЕУ тржишта са којим, посредно или непосредно велики број МСПП послује.</w:t>
      </w:r>
    </w:p>
    <w:p w14:paraId="745BEEC4" w14:textId="3F1CF4CB" w:rsidR="00820DDC" w:rsidRPr="004831AB" w:rsidRDefault="009D11BB"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Све чешће</w:t>
      </w:r>
      <w:r w:rsidR="00820DDC" w:rsidRPr="004831AB">
        <w:rPr>
          <w:rFonts w:ascii="Times New Roman" w:hAnsi="Times New Roman" w:cs="Times New Roman"/>
          <w:sz w:val="24"/>
          <w:szCs w:val="24"/>
          <w:lang w:val="sr-Cyrl-CS"/>
        </w:rPr>
        <w:t xml:space="preserve"> кризе изазване пандемијом, ратним </w:t>
      </w:r>
      <w:r w:rsidR="00D57F18" w:rsidRPr="004831AB">
        <w:rPr>
          <w:rFonts w:ascii="Times New Roman" w:hAnsi="Times New Roman" w:cs="Times New Roman"/>
          <w:sz w:val="24"/>
          <w:szCs w:val="24"/>
          <w:lang w:val="sr-Cyrl-CS"/>
        </w:rPr>
        <w:t xml:space="preserve">дејствима </w:t>
      </w:r>
      <w:r w:rsidR="00820DDC" w:rsidRPr="004831AB">
        <w:rPr>
          <w:rFonts w:ascii="Times New Roman" w:hAnsi="Times New Roman" w:cs="Times New Roman"/>
          <w:sz w:val="24"/>
          <w:szCs w:val="24"/>
          <w:lang w:val="sr-Cyrl-CS"/>
        </w:rPr>
        <w:t>у Украјини, али и периодичним и све израженијим ефектима климатских промена (суша, раст температуре, поплаве) указале су на потребу да се више пажње посвети и изградњи отпорности МСПП.</w:t>
      </w:r>
    </w:p>
    <w:p w14:paraId="05E3D33D" w14:textId="0A4E6FE5" w:rsidR="00862F3F" w:rsidRPr="004831AB" w:rsidRDefault="00C33933"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За динамичан развој МСПП и улазак нових фирми на тржиште, неопходно је об</w:t>
      </w:r>
      <w:r w:rsidR="004831AB">
        <w:rPr>
          <w:rFonts w:ascii="Times New Roman" w:hAnsi="Times New Roman" w:cs="Times New Roman"/>
          <w:sz w:val="24"/>
          <w:szCs w:val="24"/>
          <w:lang w:val="sr-Cyrl-CS"/>
        </w:rPr>
        <w:t>е</w:t>
      </w:r>
      <w:r w:rsidRPr="004831AB">
        <w:rPr>
          <w:rFonts w:ascii="Times New Roman" w:hAnsi="Times New Roman" w:cs="Times New Roman"/>
          <w:sz w:val="24"/>
          <w:szCs w:val="24"/>
          <w:lang w:val="sr-Cyrl-CS"/>
        </w:rPr>
        <w:t>збедити стабилну подршку у најкритичнијем периоду, на почетку пословања.</w:t>
      </w:r>
      <w:r w:rsidR="00754F46" w:rsidRPr="004831AB">
        <w:rPr>
          <w:rFonts w:ascii="Times New Roman" w:hAnsi="Times New Roman" w:cs="Times New Roman"/>
          <w:sz w:val="24"/>
          <w:szCs w:val="24"/>
          <w:lang w:val="sr-Cyrl-CS"/>
        </w:rPr>
        <w:t xml:space="preserve"> </w:t>
      </w:r>
      <w:r w:rsidR="00862F3F" w:rsidRPr="004831AB">
        <w:rPr>
          <w:rFonts w:ascii="Times New Roman" w:hAnsi="Times New Roman" w:cs="Times New Roman"/>
          <w:sz w:val="24"/>
          <w:szCs w:val="24"/>
          <w:lang w:val="sr-Cyrl-CS"/>
        </w:rPr>
        <w:t xml:space="preserve">Почетници у пословању су у прошлости често били </w:t>
      </w:r>
      <w:r w:rsidRPr="004831AB">
        <w:rPr>
          <w:rFonts w:ascii="Times New Roman" w:hAnsi="Times New Roman" w:cs="Times New Roman"/>
          <w:sz w:val="24"/>
          <w:szCs w:val="24"/>
          <w:lang w:val="sr-Cyrl-CS"/>
        </w:rPr>
        <w:t>„</w:t>
      </w:r>
      <w:r w:rsidR="00862F3F" w:rsidRPr="004831AB">
        <w:rPr>
          <w:rFonts w:ascii="Times New Roman" w:hAnsi="Times New Roman" w:cs="Times New Roman"/>
          <w:sz w:val="24"/>
          <w:szCs w:val="24"/>
          <w:lang w:val="sr-Cyrl-CS"/>
        </w:rPr>
        <w:t>испод радара</w:t>
      </w:r>
      <w:r w:rsidR="00584997" w:rsidRPr="004831AB">
        <w:rPr>
          <w:rFonts w:ascii="Times New Roman" w:eastAsia="Calibri" w:hAnsi="Times New Roman" w:cs="Times New Roman"/>
          <w:sz w:val="24"/>
          <w:szCs w:val="24"/>
          <w:lang w:val="sr-Cyrl-CS"/>
        </w:rPr>
        <w:t>”</w:t>
      </w:r>
      <w:r w:rsidR="00862F3F" w:rsidRPr="004831AB">
        <w:rPr>
          <w:rFonts w:ascii="Times New Roman" w:hAnsi="Times New Roman" w:cs="Times New Roman"/>
          <w:sz w:val="24"/>
          <w:szCs w:val="24"/>
          <w:lang w:val="sr-Cyrl-CS"/>
        </w:rPr>
        <w:t xml:space="preserve"> у реализацији финансијских инструмената и финансијске подршке пословању, иако је баш њима </w:t>
      </w:r>
      <w:r w:rsidRPr="004831AB">
        <w:rPr>
          <w:rFonts w:ascii="Times New Roman" w:hAnsi="Times New Roman" w:cs="Times New Roman"/>
          <w:sz w:val="24"/>
          <w:szCs w:val="24"/>
          <w:lang w:val="sr-Cyrl-CS"/>
        </w:rPr>
        <w:t xml:space="preserve">потребна </w:t>
      </w:r>
      <w:r w:rsidR="00862F3F" w:rsidRPr="004831AB">
        <w:rPr>
          <w:rFonts w:ascii="Times New Roman" w:hAnsi="Times New Roman" w:cs="Times New Roman"/>
          <w:sz w:val="24"/>
          <w:szCs w:val="24"/>
          <w:lang w:val="sr-Cyrl-CS"/>
        </w:rPr>
        <w:t>највећа подршка. У протеклом периоду је дошло до значајног унапређења подршке</w:t>
      </w:r>
      <w:r w:rsidRPr="004831AB">
        <w:rPr>
          <w:rFonts w:ascii="Times New Roman" w:hAnsi="Times New Roman" w:cs="Times New Roman"/>
          <w:sz w:val="24"/>
          <w:szCs w:val="24"/>
          <w:lang w:val="sr-Cyrl-CS"/>
        </w:rPr>
        <w:t xml:space="preserve"> почетницима у бизнису</w:t>
      </w:r>
      <w:r w:rsidR="00862F3F" w:rsidRPr="004831AB">
        <w:rPr>
          <w:rFonts w:ascii="Times New Roman" w:hAnsi="Times New Roman" w:cs="Times New Roman"/>
          <w:sz w:val="24"/>
          <w:szCs w:val="24"/>
          <w:lang w:val="sr-Cyrl-CS"/>
        </w:rPr>
        <w:t xml:space="preserve">, кроз информације, савете и </w:t>
      </w:r>
      <w:r w:rsidRPr="004831AB">
        <w:rPr>
          <w:rFonts w:ascii="Times New Roman" w:hAnsi="Times New Roman" w:cs="Times New Roman"/>
          <w:sz w:val="24"/>
          <w:szCs w:val="24"/>
          <w:lang w:val="sr-Cyrl-CS"/>
        </w:rPr>
        <w:t xml:space="preserve">редовне годишње </w:t>
      </w:r>
      <w:r w:rsidR="00862F3F" w:rsidRPr="004831AB">
        <w:rPr>
          <w:rFonts w:ascii="Times New Roman" w:hAnsi="Times New Roman" w:cs="Times New Roman"/>
          <w:sz w:val="24"/>
          <w:szCs w:val="24"/>
          <w:lang w:val="sr-Cyrl-CS"/>
        </w:rPr>
        <w:t>финансијске програме</w:t>
      </w:r>
      <w:r w:rsidRPr="004831AB">
        <w:rPr>
          <w:rFonts w:ascii="Times New Roman" w:hAnsi="Times New Roman" w:cs="Times New Roman"/>
          <w:sz w:val="24"/>
          <w:szCs w:val="24"/>
          <w:lang w:val="sr-Cyrl-CS"/>
        </w:rPr>
        <w:t xml:space="preserve"> подршке</w:t>
      </w:r>
      <w:r w:rsidR="00862F3F" w:rsidRPr="004831AB">
        <w:rPr>
          <w:rFonts w:ascii="Times New Roman" w:hAnsi="Times New Roman" w:cs="Times New Roman"/>
          <w:sz w:val="24"/>
          <w:szCs w:val="24"/>
          <w:lang w:val="sr-Cyrl-CS"/>
        </w:rPr>
        <w:t xml:space="preserve">, али и даље </w:t>
      </w:r>
      <w:r w:rsidRPr="004831AB">
        <w:rPr>
          <w:rFonts w:ascii="Times New Roman" w:hAnsi="Times New Roman" w:cs="Times New Roman"/>
          <w:sz w:val="24"/>
          <w:szCs w:val="24"/>
          <w:lang w:val="sr-Cyrl-CS"/>
        </w:rPr>
        <w:t>треба радити како</w:t>
      </w:r>
      <w:r w:rsidR="00862F3F" w:rsidRPr="004831AB">
        <w:rPr>
          <w:rFonts w:ascii="Times New Roman" w:hAnsi="Times New Roman" w:cs="Times New Roman"/>
          <w:sz w:val="24"/>
          <w:szCs w:val="24"/>
          <w:lang w:val="sr-Cyrl-CS"/>
        </w:rPr>
        <w:t xml:space="preserve"> би се повећала шанса за опстанак новооснованих бизниса</w:t>
      </w:r>
      <w:r w:rsidR="00555A3C" w:rsidRPr="004831AB">
        <w:rPr>
          <w:rFonts w:ascii="Times New Roman" w:hAnsi="Times New Roman" w:cs="Times New Roman"/>
          <w:sz w:val="24"/>
          <w:szCs w:val="24"/>
          <w:lang w:val="sr-Cyrl-CS"/>
        </w:rPr>
        <w:t>, укључујући и предузетнике из друге шансе</w:t>
      </w:r>
      <w:r w:rsidR="00754F46" w:rsidRPr="004831AB">
        <w:rPr>
          <w:rFonts w:ascii="Times New Roman" w:hAnsi="Times New Roman" w:cs="Times New Roman"/>
          <w:sz w:val="24"/>
          <w:szCs w:val="24"/>
          <w:lang w:val="sr-Cyrl-CS"/>
        </w:rPr>
        <w:t>.</w:t>
      </w:r>
    </w:p>
    <w:p w14:paraId="102B6C5B" w14:textId="467FA1AE"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Важно је обезбедити </w:t>
      </w:r>
      <w:r w:rsidR="00C33933" w:rsidRPr="004831AB">
        <w:rPr>
          <w:rFonts w:ascii="Times New Roman" w:hAnsi="Times New Roman" w:cs="Times New Roman"/>
          <w:sz w:val="24"/>
          <w:szCs w:val="24"/>
          <w:lang w:val="sr-Cyrl-CS"/>
        </w:rPr>
        <w:t xml:space="preserve">да </w:t>
      </w:r>
      <w:r w:rsidRPr="004831AB">
        <w:rPr>
          <w:rFonts w:ascii="Times New Roman" w:hAnsi="Times New Roman" w:cs="Times New Roman"/>
          <w:sz w:val="24"/>
          <w:szCs w:val="24"/>
          <w:lang w:val="sr-Cyrl-CS"/>
        </w:rPr>
        <w:t xml:space="preserve">развој сектора МСПП </w:t>
      </w:r>
      <w:r w:rsidR="00C33933" w:rsidRPr="004831AB">
        <w:rPr>
          <w:rFonts w:ascii="Times New Roman" w:hAnsi="Times New Roman" w:cs="Times New Roman"/>
          <w:sz w:val="24"/>
          <w:szCs w:val="24"/>
          <w:lang w:val="sr-Cyrl-CS"/>
        </w:rPr>
        <w:t xml:space="preserve">буде инклузиван, </w:t>
      </w:r>
      <w:r w:rsidRPr="004831AB">
        <w:rPr>
          <w:rFonts w:ascii="Times New Roman" w:hAnsi="Times New Roman" w:cs="Times New Roman"/>
          <w:sz w:val="24"/>
          <w:szCs w:val="24"/>
          <w:lang w:val="sr-Cyrl-CS"/>
        </w:rPr>
        <w:t>односно посветити пажњу потребама специфичних циљних група, попут младих и жена предузетница или МСПП која послују у мање развијеним срединама и још увек немају решен проблем приступа основној физичкој инфраструктури.</w:t>
      </w:r>
      <w:r w:rsidR="00BB794D" w:rsidRPr="004831AB">
        <w:rPr>
          <w:lang w:val="sr-Cyrl-CS"/>
        </w:rPr>
        <w:t xml:space="preserve"> </w:t>
      </w:r>
      <w:r w:rsidR="009D11BB" w:rsidRPr="004831AB">
        <w:rPr>
          <w:rFonts w:ascii="Times New Roman" w:hAnsi="Times New Roman" w:cs="Times New Roman"/>
          <w:sz w:val="24"/>
          <w:szCs w:val="24"/>
          <w:lang w:val="sr-Cyrl-CS"/>
        </w:rPr>
        <w:t>Регулаторно окружење за жене предузетнике и оне које обављају менаџерске функције и даље је дестимулишуће по питању остваривања одређених права (боловање, трудничко и породиљско одсуство)</w:t>
      </w:r>
      <w:r w:rsidR="00B80DEB" w:rsidRPr="004831AB">
        <w:rPr>
          <w:rFonts w:ascii="Times New Roman" w:hAnsi="Times New Roman" w:cs="Times New Roman"/>
          <w:sz w:val="24"/>
          <w:szCs w:val="24"/>
          <w:lang w:val="sr-Cyrl-CS"/>
        </w:rPr>
        <w:t>,</w:t>
      </w:r>
      <w:r w:rsidR="009D11BB" w:rsidRPr="004831AB">
        <w:rPr>
          <w:rFonts w:ascii="Times New Roman" w:hAnsi="Times New Roman" w:cs="Times New Roman"/>
          <w:sz w:val="24"/>
          <w:szCs w:val="24"/>
          <w:lang w:val="sr-Cyrl-CS"/>
        </w:rPr>
        <w:t xml:space="preserve"> те је у наредном периоду потребно радити на креирању подстицајног окружења за развој женског предузетништва.Такође, имајући у виду све мању расположивост занатских услуга у Републици Србији, потребно је анализирати тренутно стање у занатству и радити на проналажењу могућих решења на основу којих ће се унапредити положај занатлија</w:t>
      </w:r>
      <w:r w:rsidR="00754F46" w:rsidRPr="004831AB">
        <w:rPr>
          <w:rFonts w:ascii="Times New Roman" w:hAnsi="Times New Roman" w:cs="Times New Roman"/>
          <w:sz w:val="24"/>
          <w:szCs w:val="24"/>
          <w:lang w:val="sr-Cyrl-CS"/>
        </w:rPr>
        <w:t>.</w:t>
      </w:r>
    </w:p>
    <w:p w14:paraId="6CE8A471" w14:textId="77777777"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циљу ефикасног проналажења решења за изазове у свим побројаним областима, неопходно је ојачати стални дијалог између јавног сектора, институција подршке и МСПП, у чему </w:t>
      </w:r>
      <w:r w:rsidR="00E54606" w:rsidRPr="004831AB">
        <w:rPr>
          <w:rFonts w:ascii="Times New Roman" w:hAnsi="Times New Roman" w:cs="Times New Roman"/>
          <w:sz w:val="24"/>
          <w:szCs w:val="24"/>
          <w:lang w:val="sr-Cyrl-CS"/>
        </w:rPr>
        <w:t>ПКС</w:t>
      </w:r>
      <w:r w:rsidRPr="004831AB">
        <w:rPr>
          <w:rFonts w:ascii="Times New Roman" w:hAnsi="Times New Roman" w:cs="Times New Roman"/>
          <w:sz w:val="24"/>
          <w:szCs w:val="24"/>
          <w:lang w:val="sr-Cyrl-CS"/>
        </w:rPr>
        <w:t>, у складу са својим законским овлашћењима, има водећу улогу.</w:t>
      </w:r>
    </w:p>
    <w:p w14:paraId="33F96489" w14:textId="77777777" w:rsidR="00862F3F" w:rsidRPr="004831AB" w:rsidRDefault="00C23639"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Промоција предузетништва, предузетничке културе и духа значајно је унапређена у протеклом периоду. Томе </w:t>
      </w:r>
      <w:r w:rsidR="005A0756" w:rsidRPr="004831AB">
        <w:rPr>
          <w:rFonts w:ascii="Times New Roman" w:hAnsi="Times New Roman" w:cs="Times New Roman"/>
          <w:sz w:val="24"/>
          <w:szCs w:val="24"/>
          <w:lang w:val="sr-Cyrl-CS"/>
        </w:rPr>
        <w:t xml:space="preserve">су </w:t>
      </w:r>
      <w:r w:rsidRPr="004831AB">
        <w:rPr>
          <w:rFonts w:ascii="Times New Roman" w:hAnsi="Times New Roman" w:cs="Times New Roman"/>
          <w:sz w:val="24"/>
          <w:szCs w:val="24"/>
          <w:lang w:val="sr-Cyrl-CS"/>
        </w:rPr>
        <w:t>нарочито допринел</w:t>
      </w:r>
      <w:r w:rsidR="005A0756" w:rsidRPr="004831AB">
        <w:rPr>
          <w:rFonts w:ascii="Times New Roman" w:hAnsi="Times New Roman" w:cs="Times New Roman"/>
          <w:sz w:val="24"/>
          <w:szCs w:val="24"/>
          <w:lang w:val="sr-Cyrl-CS"/>
        </w:rPr>
        <w:t xml:space="preserve">е фокусиране промотивне активности и реализација значајног броја </w:t>
      </w:r>
      <w:r w:rsidR="00AD3D80" w:rsidRPr="004831AB">
        <w:rPr>
          <w:rFonts w:ascii="Times New Roman" w:hAnsi="Times New Roman" w:cs="Times New Roman"/>
          <w:sz w:val="24"/>
          <w:szCs w:val="24"/>
          <w:lang w:val="sr-Cyrl-CS"/>
        </w:rPr>
        <w:t xml:space="preserve">активности </w:t>
      </w:r>
      <w:r w:rsidR="005A0756" w:rsidRPr="004831AB">
        <w:rPr>
          <w:rFonts w:ascii="Times New Roman" w:hAnsi="Times New Roman" w:cs="Times New Roman"/>
          <w:sz w:val="24"/>
          <w:szCs w:val="24"/>
          <w:lang w:val="sr-Cyrl-CS"/>
        </w:rPr>
        <w:t>програмске подршке, што финансијске што нефинансијске</w:t>
      </w:r>
      <w:r w:rsidR="00AD3D80" w:rsidRPr="004831AB">
        <w:rPr>
          <w:rFonts w:ascii="Times New Roman" w:hAnsi="Times New Roman" w:cs="Times New Roman"/>
          <w:sz w:val="24"/>
          <w:szCs w:val="24"/>
          <w:lang w:val="sr-Cyrl-CS"/>
        </w:rPr>
        <w:t xml:space="preserve"> у оквиру</w:t>
      </w:r>
      <w:r w:rsidRPr="004831AB">
        <w:rPr>
          <w:rFonts w:ascii="Times New Roman" w:hAnsi="Times New Roman" w:cs="Times New Roman"/>
          <w:sz w:val="24"/>
          <w:szCs w:val="24"/>
          <w:lang w:val="sr-Cyrl-CS"/>
        </w:rPr>
        <w:t xml:space="preserve"> Годин</w:t>
      </w:r>
      <w:r w:rsidR="00AD3D80" w:rsidRPr="004831AB">
        <w:rPr>
          <w:rFonts w:ascii="Times New Roman" w:hAnsi="Times New Roman" w:cs="Times New Roman"/>
          <w:sz w:val="24"/>
          <w:szCs w:val="24"/>
          <w:lang w:val="sr-Cyrl-CS"/>
        </w:rPr>
        <w:t>е</w:t>
      </w:r>
      <w:r w:rsidR="00AF3E45" w:rsidRPr="004831AB">
        <w:rPr>
          <w:rFonts w:ascii="Times New Roman" w:hAnsi="Times New Roman" w:cs="Times New Roman"/>
          <w:sz w:val="24"/>
          <w:szCs w:val="24"/>
          <w:lang w:val="sr-Cyrl-CS"/>
        </w:rPr>
        <w:t xml:space="preserve"> предузетништва</w:t>
      </w:r>
      <w:r w:rsidR="00AD3D80" w:rsidRPr="004831AB">
        <w:rPr>
          <w:rFonts w:ascii="Times New Roman" w:hAnsi="Times New Roman" w:cs="Times New Roman"/>
          <w:sz w:val="24"/>
          <w:szCs w:val="24"/>
          <w:lang w:val="sr-Cyrl-CS"/>
        </w:rPr>
        <w:t>, а потом</w:t>
      </w:r>
      <w:r w:rsidRPr="004831AB">
        <w:rPr>
          <w:rFonts w:ascii="Times New Roman" w:hAnsi="Times New Roman" w:cs="Times New Roman"/>
          <w:sz w:val="24"/>
          <w:szCs w:val="24"/>
          <w:lang w:val="sr-Cyrl-CS"/>
        </w:rPr>
        <w:t xml:space="preserve"> и Децениј</w:t>
      </w:r>
      <w:r w:rsidR="00AD3D80" w:rsidRPr="004831AB">
        <w:rPr>
          <w:rFonts w:ascii="Times New Roman" w:hAnsi="Times New Roman" w:cs="Times New Roman"/>
          <w:sz w:val="24"/>
          <w:szCs w:val="24"/>
          <w:lang w:val="sr-Cyrl-CS"/>
        </w:rPr>
        <w:t>е</w:t>
      </w:r>
      <w:r w:rsidRPr="004831AB">
        <w:rPr>
          <w:rFonts w:ascii="Times New Roman" w:hAnsi="Times New Roman" w:cs="Times New Roman"/>
          <w:sz w:val="24"/>
          <w:szCs w:val="24"/>
          <w:lang w:val="sr-Cyrl-CS"/>
        </w:rPr>
        <w:t xml:space="preserve"> предузетништва, као и креирање портала „Предузетништво</w:t>
      </w:r>
      <w:r w:rsidR="007E5D5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и обједињавање свих програма и активности подршке сектору МСПП на једном месту. </w:t>
      </w:r>
      <w:r w:rsidR="00862F3F" w:rsidRPr="004831AB">
        <w:rPr>
          <w:rFonts w:ascii="Times New Roman" w:hAnsi="Times New Roman" w:cs="Times New Roman"/>
          <w:sz w:val="24"/>
          <w:szCs w:val="24"/>
          <w:lang w:val="sr-Cyrl-CS"/>
        </w:rPr>
        <w:t xml:space="preserve">Ипак, </w:t>
      </w:r>
      <w:r w:rsidR="00700549" w:rsidRPr="004831AB">
        <w:rPr>
          <w:rFonts w:ascii="Times New Roman" w:hAnsi="Times New Roman" w:cs="Times New Roman"/>
          <w:sz w:val="24"/>
          <w:szCs w:val="24"/>
          <w:lang w:val="sr-Cyrl-CS"/>
        </w:rPr>
        <w:t xml:space="preserve">потребно је даље радити на јачању предузетничке културе и духа који стимулише даљи економски раст, а </w:t>
      </w:r>
      <w:r w:rsidR="00862F3F" w:rsidRPr="004831AB">
        <w:rPr>
          <w:rFonts w:ascii="Times New Roman" w:hAnsi="Times New Roman" w:cs="Times New Roman"/>
          <w:sz w:val="24"/>
          <w:szCs w:val="24"/>
          <w:lang w:val="sr-Cyrl-CS"/>
        </w:rPr>
        <w:t>предузетништво препознато као</w:t>
      </w:r>
      <w:r w:rsidR="00700549" w:rsidRPr="004831AB">
        <w:rPr>
          <w:rFonts w:ascii="Times New Roman" w:hAnsi="Times New Roman" w:cs="Times New Roman"/>
          <w:sz w:val="24"/>
          <w:szCs w:val="24"/>
          <w:lang w:val="sr-Cyrl-CS"/>
        </w:rPr>
        <w:t xml:space="preserve"> пожељан</w:t>
      </w:r>
      <w:r w:rsidR="00862F3F" w:rsidRPr="004831AB">
        <w:rPr>
          <w:rFonts w:ascii="Times New Roman" w:hAnsi="Times New Roman" w:cs="Times New Roman"/>
          <w:sz w:val="24"/>
          <w:szCs w:val="24"/>
          <w:lang w:val="sr-Cyrl-CS"/>
        </w:rPr>
        <w:t xml:space="preserve"> каријерни пут</w:t>
      </w:r>
      <w:r w:rsidR="00700549" w:rsidRPr="004831AB">
        <w:rPr>
          <w:rFonts w:ascii="Times New Roman" w:hAnsi="Times New Roman" w:cs="Times New Roman"/>
          <w:sz w:val="24"/>
          <w:szCs w:val="24"/>
          <w:lang w:val="sr-Cyrl-CS"/>
        </w:rPr>
        <w:t xml:space="preserve">. </w:t>
      </w:r>
    </w:p>
    <w:p w14:paraId="01929B63" w14:textId="19CE42B5"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w:t>
      </w:r>
      <w:r w:rsidR="00555A3C" w:rsidRPr="004831AB">
        <w:rPr>
          <w:rFonts w:ascii="Times New Roman" w:hAnsi="Times New Roman" w:cs="Times New Roman"/>
          <w:sz w:val="24"/>
          <w:szCs w:val="24"/>
          <w:lang w:val="sr-Cyrl-CS"/>
        </w:rPr>
        <w:t xml:space="preserve">претходним </w:t>
      </w:r>
      <w:r w:rsidRPr="004831AB">
        <w:rPr>
          <w:rFonts w:ascii="Times New Roman" w:hAnsi="Times New Roman" w:cs="Times New Roman"/>
          <w:sz w:val="24"/>
          <w:szCs w:val="24"/>
          <w:lang w:val="sr-Cyrl-CS"/>
        </w:rPr>
        <w:t>годинама изграђена је и институционална структура за подршку развоју МСПП. Поред</w:t>
      </w:r>
      <w:r w:rsidR="00584997" w:rsidRPr="004831AB">
        <w:rPr>
          <w:rFonts w:ascii="Times New Roman" w:hAnsi="Times New Roman" w:cs="Times New Roman"/>
          <w:sz w:val="24"/>
          <w:szCs w:val="24"/>
          <w:lang w:val="sr-Cyrl-CS"/>
        </w:rPr>
        <w:t xml:space="preserve"> </w:t>
      </w:r>
      <w:r w:rsidR="00754F46" w:rsidRPr="004831AB">
        <w:rPr>
          <w:rFonts w:ascii="Times New Roman" w:hAnsi="Times New Roman" w:cs="Times New Roman"/>
          <w:sz w:val="24"/>
          <w:szCs w:val="24"/>
          <w:lang w:val="sr-Cyrl-CS"/>
        </w:rPr>
        <w:t>РАС</w:t>
      </w:r>
      <w:r w:rsidRPr="004831AB">
        <w:rPr>
          <w:rFonts w:ascii="Times New Roman" w:hAnsi="Times New Roman" w:cs="Times New Roman"/>
          <w:sz w:val="24"/>
          <w:szCs w:val="24"/>
          <w:lang w:val="sr-Cyrl-CS"/>
        </w:rPr>
        <w:t xml:space="preserve">, </w:t>
      </w:r>
      <w:r w:rsidR="00754F46" w:rsidRPr="004831AB">
        <w:rPr>
          <w:rFonts w:ascii="Times New Roman" w:hAnsi="Times New Roman" w:cs="Times New Roman"/>
          <w:sz w:val="24"/>
          <w:szCs w:val="24"/>
          <w:lang w:val="sr-Cyrl-CS"/>
        </w:rPr>
        <w:t>ФЗР</w:t>
      </w:r>
      <w:r w:rsidRPr="004831AB">
        <w:rPr>
          <w:rFonts w:ascii="Times New Roman" w:hAnsi="Times New Roman" w:cs="Times New Roman"/>
          <w:sz w:val="24"/>
          <w:szCs w:val="24"/>
          <w:lang w:val="sr-Cyrl-CS"/>
        </w:rPr>
        <w:t>, Агенције за осигурање и финансирање извоза</w:t>
      </w:r>
      <w:r w:rsidR="00754F46" w:rsidRPr="004831AB">
        <w:rPr>
          <w:rFonts w:ascii="Times New Roman" w:hAnsi="Times New Roman" w:cs="Times New Roman"/>
          <w:sz w:val="24"/>
          <w:szCs w:val="24"/>
          <w:lang w:val="sr-Cyrl-CS"/>
        </w:rPr>
        <w:t xml:space="preserve"> (у даљем тексту: АОФИ)</w:t>
      </w:r>
      <w:r w:rsidRPr="004831AB">
        <w:rPr>
          <w:rFonts w:ascii="Times New Roman" w:hAnsi="Times New Roman" w:cs="Times New Roman"/>
          <w:sz w:val="24"/>
          <w:szCs w:val="24"/>
          <w:lang w:val="sr-Cyrl-CS"/>
        </w:rPr>
        <w:t xml:space="preserve"> и мреже </w:t>
      </w:r>
      <w:r w:rsidR="002071FD" w:rsidRPr="004831AB">
        <w:rPr>
          <w:rFonts w:ascii="Times New Roman" w:hAnsi="Times New Roman" w:cs="Times New Roman"/>
          <w:sz w:val="24"/>
          <w:szCs w:val="24"/>
          <w:lang w:val="sr-Cyrl-CS"/>
        </w:rPr>
        <w:t xml:space="preserve">акредитованих </w:t>
      </w:r>
      <w:r w:rsidRPr="004831AB">
        <w:rPr>
          <w:rFonts w:ascii="Times New Roman" w:hAnsi="Times New Roman" w:cs="Times New Roman"/>
          <w:sz w:val="24"/>
          <w:szCs w:val="24"/>
          <w:lang w:val="sr-Cyrl-CS"/>
        </w:rPr>
        <w:t>реги</w:t>
      </w:r>
      <w:r w:rsidR="004831AB">
        <w:rPr>
          <w:rFonts w:ascii="Times New Roman" w:hAnsi="Times New Roman" w:cs="Times New Roman"/>
          <w:sz w:val="24"/>
          <w:szCs w:val="24"/>
          <w:lang w:val="sr-Cyrl-CS"/>
        </w:rPr>
        <w:t>о</w:t>
      </w:r>
      <w:r w:rsidRPr="004831AB">
        <w:rPr>
          <w:rFonts w:ascii="Times New Roman" w:hAnsi="Times New Roman" w:cs="Times New Roman"/>
          <w:sz w:val="24"/>
          <w:szCs w:val="24"/>
          <w:lang w:val="sr-Cyrl-CS"/>
        </w:rPr>
        <w:t>налних развојних агенција</w:t>
      </w:r>
      <w:r w:rsidR="00754F46" w:rsidRPr="004831AB">
        <w:rPr>
          <w:rFonts w:ascii="Times New Roman" w:hAnsi="Times New Roman" w:cs="Times New Roman"/>
          <w:sz w:val="24"/>
          <w:szCs w:val="24"/>
          <w:lang w:val="sr-Cyrl-CS"/>
        </w:rPr>
        <w:t xml:space="preserve"> (у даљем тексту: АРРА)</w:t>
      </w:r>
      <w:r w:rsidRPr="004831AB">
        <w:rPr>
          <w:rFonts w:ascii="Times New Roman" w:hAnsi="Times New Roman" w:cs="Times New Roman"/>
          <w:sz w:val="24"/>
          <w:szCs w:val="24"/>
          <w:lang w:val="sr-Cyrl-CS"/>
        </w:rPr>
        <w:t>, значајно су ојачане и основане нове институци</w:t>
      </w:r>
      <w:r w:rsidR="00B80DEB" w:rsidRPr="004831AB">
        <w:rPr>
          <w:rFonts w:ascii="Times New Roman" w:hAnsi="Times New Roman" w:cs="Times New Roman"/>
          <w:sz w:val="24"/>
          <w:szCs w:val="24"/>
          <w:lang w:val="sr-Cyrl-CS"/>
        </w:rPr>
        <w:t xml:space="preserve">је за подршку  иновацијама, од </w:t>
      </w:r>
      <w:r w:rsidR="00F261E1" w:rsidRPr="004831AB">
        <w:rPr>
          <w:rFonts w:ascii="Times New Roman" w:hAnsi="Times New Roman" w:cs="Times New Roman"/>
          <w:sz w:val="24"/>
          <w:szCs w:val="24"/>
          <w:lang w:val="sr-Cyrl-CS"/>
        </w:rPr>
        <w:t xml:space="preserve">Фонда за иновациону делатност </w:t>
      </w:r>
      <w:r w:rsidRPr="004831AB">
        <w:rPr>
          <w:rFonts w:ascii="Times New Roman" w:hAnsi="Times New Roman" w:cs="Times New Roman"/>
          <w:sz w:val="24"/>
          <w:szCs w:val="24"/>
          <w:lang w:val="sr-Cyrl-CS"/>
        </w:rPr>
        <w:t xml:space="preserve">преко научно-технолошких паркова и инкубатора. </w:t>
      </w:r>
      <w:r w:rsidR="00E54606" w:rsidRPr="004831AB">
        <w:rPr>
          <w:rFonts w:ascii="Times New Roman" w:hAnsi="Times New Roman" w:cs="Times New Roman"/>
          <w:sz w:val="24"/>
          <w:szCs w:val="24"/>
          <w:lang w:val="sr-Cyrl-CS"/>
        </w:rPr>
        <w:t>ПКС</w:t>
      </w:r>
      <w:r w:rsidRPr="004831AB">
        <w:rPr>
          <w:rFonts w:ascii="Times New Roman" w:hAnsi="Times New Roman" w:cs="Times New Roman"/>
          <w:sz w:val="24"/>
          <w:szCs w:val="24"/>
          <w:lang w:val="sr-Cyrl-CS"/>
        </w:rPr>
        <w:t xml:space="preserve"> у сарадњи са Министарством привреде и</w:t>
      </w:r>
      <w:r w:rsidR="00584997" w:rsidRPr="004831AB">
        <w:rPr>
          <w:rFonts w:ascii="Times New Roman" w:hAnsi="Times New Roman" w:cs="Times New Roman"/>
          <w:sz w:val="24"/>
          <w:szCs w:val="24"/>
          <w:lang w:val="sr-Cyrl-CS"/>
        </w:rPr>
        <w:t xml:space="preserve"> </w:t>
      </w:r>
      <w:r w:rsidR="00754F46" w:rsidRPr="004831AB">
        <w:rPr>
          <w:rFonts w:ascii="Times New Roman" w:hAnsi="Times New Roman" w:cs="Times New Roman"/>
          <w:sz w:val="24"/>
          <w:szCs w:val="24"/>
          <w:lang w:val="sr-Cyrl-CS"/>
        </w:rPr>
        <w:t>РАС</w:t>
      </w:r>
      <w:r w:rsidRPr="004831AB">
        <w:rPr>
          <w:rFonts w:ascii="Times New Roman" w:hAnsi="Times New Roman" w:cs="Times New Roman"/>
          <w:sz w:val="24"/>
          <w:szCs w:val="24"/>
          <w:lang w:val="sr-Cyrl-CS"/>
        </w:rPr>
        <w:t>, такође има значајне активности по питању директне подршке МСПП, пре свега у обл</w:t>
      </w:r>
      <w:r w:rsidR="00555A3C"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сти дигитализације, циркуларне економије и извоза.</w:t>
      </w:r>
      <w:r w:rsidR="00D57F18"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У периоду од 2016</w:t>
      </w:r>
      <w:r w:rsidR="00D57F18"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године, која је била проглашена за годину предузетништва, све су већа финансијска средства која се опредељују за подршку развоју МСПП и расте број корисника, а најважнији програми се спроводе у редовним годишњим циклусима</w:t>
      </w:r>
      <w:r w:rsidR="00555A3C" w:rsidRPr="004831AB">
        <w:rPr>
          <w:rFonts w:ascii="Times New Roman" w:hAnsi="Times New Roman" w:cs="Times New Roman"/>
          <w:sz w:val="24"/>
          <w:szCs w:val="24"/>
          <w:lang w:val="sr-Cyrl-CS"/>
        </w:rPr>
        <w:t xml:space="preserve"> и редовно евалуирају</w:t>
      </w:r>
      <w:r w:rsidRPr="004831AB">
        <w:rPr>
          <w:rFonts w:ascii="Times New Roman" w:hAnsi="Times New Roman" w:cs="Times New Roman"/>
          <w:sz w:val="24"/>
          <w:szCs w:val="24"/>
          <w:lang w:val="sr-Cyrl-CS"/>
        </w:rPr>
        <w:t>. Истовремено, све је израженије питање капацитета и оптимизације рада у најважнијим институцијама подршке који би обезбедио даље ширење и иновирање активности и подршке.</w:t>
      </w:r>
    </w:p>
    <w:p w14:paraId="705FE09B" w14:textId="77777777" w:rsidR="00820DDC" w:rsidRPr="004831AB" w:rsidRDefault="00820DDC" w:rsidP="00820DDC">
      <w:pPr>
        <w:spacing w:line="240" w:lineRule="auto"/>
        <w:rPr>
          <w:rFonts w:ascii="Times New Roman" w:hAnsi="Times New Roman" w:cs="Times New Roman"/>
          <w:bCs/>
          <w:sz w:val="24"/>
          <w:szCs w:val="24"/>
          <w:lang w:val="sr-Cyrl-CS"/>
        </w:rPr>
      </w:pPr>
      <w:r w:rsidRPr="004831AB">
        <w:rPr>
          <w:rFonts w:ascii="Times New Roman" w:hAnsi="Times New Roman" w:cs="Times New Roman"/>
          <w:bCs/>
          <w:i/>
          <w:iCs/>
          <w:sz w:val="24"/>
          <w:szCs w:val="24"/>
          <w:lang w:val="sr-Cyrl-CS"/>
        </w:rPr>
        <w:lastRenderedPageBreak/>
        <w:t>SWOT</w:t>
      </w:r>
      <w:r w:rsidRPr="004831AB">
        <w:rPr>
          <w:rFonts w:ascii="Times New Roman" w:hAnsi="Times New Roman" w:cs="Times New Roman"/>
          <w:bCs/>
          <w:sz w:val="24"/>
          <w:szCs w:val="24"/>
          <w:lang w:val="sr-Cyrl-CS"/>
        </w:rPr>
        <w:t xml:space="preserve"> анализа</w:t>
      </w:r>
    </w:p>
    <w:p w14:paraId="29388AA1" w14:textId="699B3B2F" w:rsidR="00820DDC" w:rsidRPr="004831AB" w:rsidRDefault="00820DDC" w:rsidP="009F36FE">
      <w:pPr>
        <w:spacing w:after="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Имајући у виду све ове изазове са којима се МСПП у свом пословању свакодневно сусрећу, као и одр</w:t>
      </w:r>
      <w:r w:rsidR="00AE0625" w:rsidRPr="004831AB">
        <w:rPr>
          <w:rFonts w:ascii="Times New Roman" w:hAnsi="Times New Roman" w:cs="Times New Roman"/>
          <w:sz w:val="24"/>
          <w:szCs w:val="24"/>
          <w:lang w:val="sr-Cyrl-CS"/>
        </w:rPr>
        <w:t>еђене потенцијале овог сектора,</w:t>
      </w:r>
      <w:r w:rsidRPr="004831AB">
        <w:rPr>
          <w:rFonts w:ascii="Times New Roman" w:hAnsi="Times New Roman" w:cs="Times New Roman"/>
          <w:sz w:val="24"/>
          <w:szCs w:val="24"/>
          <w:lang w:val="sr-Cyrl-CS"/>
        </w:rPr>
        <w:t xml:space="preserve"> табела </w:t>
      </w:r>
      <w:r w:rsidR="00AE0625" w:rsidRPr="004831AB">
        <w:rPr>
          <w:rFonts w:ascii="Times New Roman" w:hAnsi="Times New Roman" w:cs="Times New Roman"/>
          <w:sz w:val="24"/>
          <w:szCs w:val="24"/>
          <w:lang w:val="sr-Cyrl-CS"/>
        </w:rPr>
        <w:t>SWOT анализа садржи идентификоване снаге, слабости, шансе и претње</w:t>
      </w:r>
      <w:r w:rsidRPr="004831AB">
        <w:rPr>
          <w:rFonts w:ascii="Times New Roman" w:hAnsi="Times New Roman" w:cs="Times New Roman"/>
          <w:sz w:val="24"/>
          <w:szCs w:val="24"/>
          <w:lang w:val="sr-Cyrl-CS"/>
        </w:rPr>
        <w:t xml:space="preserve"> за развој сектора МСПП у Републици Србији: </w:t>
      </w:r>
    </w:p>
    <w:p w14:paraId="792B0C4A" w14:textId="77777777" w:rsidR="00555A3C" w:rsidRPr="004831AB" w:rsidRDefault="00555A3C" w:rsidP="00555A3C">
      <w:pPr>
        <w:spacing w:line="240" w:lineRule="auto"/>
        <w:jc w:val="cente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SWOT анализа</w:t>
      </w:r>
    </w:p>
    <w:tbl>
      <w:tblPr>
        <w:tblStyle w:val="TableGrid2"/>
        <w:tblW w:w="0" w:type="auto"/>
        <w:tblLook w:val="04A0" w:firstRow="1" w:lastRow="0" w:firstColumn="1" w:lastColumn="0" w:noHBand="0" w:noVBand="1"/>
      </w:tblPr>
      <w:tblGrid>
        <w:gridCol w:w="4675"/>
        <w:gridCol w:w="4675"/>
      </w:tblGrid>
      <w:tr w:rsidR="00555A3C" w:rsidRPr="004831AB" w14:paraId="69975DD9" w14:textId="77777777" w:rsidTr="00D1726B">
        <w:tc>
          <w:tcPr>
            <w:tcW w:w="4675" w:type="dxa"/>
          </w:tcPr>
          <w:p w14:paraId="03836FDE" w14:textId="77777777" w:rsidR="00555A3C" w:rsidRPr="004831AB" w:rsidRDefault="00555A3C" w:rsidP="00555A3C">
            <w:pPr>
              <w:jc w:val="cente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Снаге (S)</w:t>
            </w:r>
          </w:p>
        </w:tc>
        <w:tc>
          <w:tcPr>
            <w:tcW w:w="4675" w:type="dxa"/>
          </w:tcPr>
          <w:p w14:paraId="64674A39" w14:textId="77777777" w:rsidR="00555A3C" w:rsidRPr="004831AB" w:rsidRDefault="00555A3C" w:rsidP="00555A3C">
            <w:pPr>
              <w:jc w:val="cente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Слабости (W)</w:t>
            </w:r>
          </w:p>
        </w:tc>
      </w:tr>
      <w:tr w:rsidR="00555A3C" w:rsidRPr="004831AB" w14:paraId="646A1D92" w14:textId="77777777" w:rsidTr="00D1726B">
        <w:tc>
          <w:tcPr>
            <w:tcW w:w="4675" w:type="dxa"/>
          </w:tcPr>
          <w:p w14:paraId="6EF8324F"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Динамичан сектор;</w:t>
            </w:r>
          </w:p>
          <w:p w14:paraId="42AEF0CB"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Отпорност на утицаје;</w:t>
            </w:r>
          </w:p>
          <w:p w14:paraId="4C586B65"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Расположивост ресурса (сировина и енергије) </w:t>
            </w:r>
            <w:r w:rsidR="00700549" w:rsidRPr="004831AB">
              <w:rPr>
                <w:rFonts w:ascii="Times New Roman" w:hAnsi="Times New Roman" w:cs="Times New Roman"/>
                <w:sz w:val="24"/>
                <w:szCs w:val="24"/>
                <w:lang w:val="sr-Cyrl-CS"/>
              </w:rPr>
              <w:t xml:space="preserve">по конкурентним ценама </w:t>
            </w:r>
            <w:r w:rsidRPr="004831AB">
              <w:rPr>
                <w:rFonts w:ascii="Times New Roman" w:hAnsi="Times New Roman" w:cs="Times New Roman"/>
                <w:sz w:val="24"/>
                <w:szCs w:val="24"/>
                <w:lang w:val="sr-Cyrl-CS"/>
              </w:rPr>
              <w:t xml:space="preserve">и </w:t>
            </w:r>
            <w:r w:rsidRPr="004831AB">
              <w:rPr>
                <w:rFonts w:ascii="Times New Roman" w:hAnsi="Times New Roman" w:cs="Times New Roman"/>
                <w:i/>
                <w:iCs/>
                <w:sz w:val="24"/>
                <w:szCs w:val="24"/>
                <w:lang w:val="sr-Cyrl-CS"/>
              </w:rPr>
              <w:t>know-how;</w:t>
            </w:r>
          </w:p>
          <w:p w14:paraId="771CDEC0"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Релативно</w:t>
            </w:r>
            <w:r w:rsidR="00700549"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квалификована и образована радна снага;</w:t>
            </w:r>
          </w:p>
          <w:p w14:paraId="299A5C85"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Динамичан развој иновативног и ИТ предузетништва</w:t>
            </w:r>
            <w:r w:rsidR="00BD25DC" w:rsidRPr="004831AB">
              <w:rPr>
                <w:rFonts w:ascii="Times New Roman" w:hAnsi="Times New Roman" w:cs="Times New Roman"/>
                <w:sz w:val="24"/>
                <w:szCs w:val="24"/>
                <w:lang w:val="sr-Cyrl-CS"/>
              </w:rPr>
              <w:t>;</w:t>
            </w:r>
          </w:p>
          <w:p w14:paraId="21DC1C08" w14:textId="77777777"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Убрзање административних процедура кроз унапређење сервиса е-управе</w:t>
            </w:r>
            <w:r w:rsidR="00BD25D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p>
          <w:p w14:paraId="142C1DD9" w14:textId="5C8980A9" w:rsidR="00555A3C" w:rsidRPr="004831AB" w:rsidRDefault="00555A3C" w:rsidP="00BA0240">
            <w:pPr>
              <w:numPr>
                <w:ilvl w:val="0"/>
                <w:numId w:val="43"/>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Развој дуалног образовања  у оквиру средњег и високог  образовања</w:t>
            </w:r>
            <w:r w:rsidR="00BD25DC" w:rsidRPr="004831AB">
              <w:rPr>
                <w:rFonts w:ascii="Times New Roman" w:hAnsi="Times New Roman" w:cs="Times New Roman"/>
                <w:sz w:val="24"/>
                <w:szCs w:val="24"/>
                <w:lang w:val="sr-Cyrl-CS"/>
              </w:rPr>
              <w:t xml:space="preserve">. </w:t>
            </w:r>
          </w:p>
          <w:p w14:paraId="7B81D77C" w14:textId="77777777" w:rsidR="00555A3C" w:rsidRPr="004831AB" w:rsidRDefault="00555A3C" w:rsidP="00555A3C">
            <w:pPr>
              <w:ind w:left="457"/>
              <w:contextualSpacing/>
              <w:jc w:val="both"/>
              <w:rPr>
                <w:rFonts w:ascii="Times New Roman" w:hAnsi="Times New Roman" w:cs="Times New Roman"/>
                <w:sz w:val="24"/>
                <w:szCs w:val="24"/>
                <w:lang w:val="sr-Cyrl-CS"/>
              </w:rPr>
            </w:pPr>
          </w:p>
          <w:p w14:paraId="3F349F17" w14:textId="77777777" w:rsidR="00555A3C" w:rsidRPr="004831AB" w:rsidRDefault="00555A3C" w:rsidP="00555A3C">
            <w:pPr>
              <w:ind w:left="457"/>
              <w:contextualSpacing/>
              <w:jc w:val="both"/>
              <w:rPr>
                <w:rFonts w:ascii="Times New Roman" w:hAnsi="Times New Roman" w:cs="Times New Roman"/>
                <w:sz w:val="24"/>
                <w:szCs w:val="24"/>
                <w:lang w:val="sr-Cyrl-CS"/>
              </w:rPr>
            </w:pPr>
          </w:p>
          <w:p w14:paraId="60C816B0" w14:textId="77777777" w:rsidR="00555A3C" w:rsidRPr="004831AB" w:rsidRDefault="00555A3C" w:rsidP="00555A3C">
            <w:pPr>
              <w:spacing w:after="200"/>
              <w:ind w:left="457"/>
              <w:contextualSpacing/>
              <w:jc w:val="both"/>
              <w:rPr>
                <w:rFonts w:ascii="Times New Roman" w:hAnsi="Times New Roman" w:cs="Times New Roman"/>
                <w:sz w:val="24"/>
                <w:szCs w:val="24"/>
                <w:lang w:val="sr-Cyrl-CS"/>
              </w:rPr>
            </w:pPr>
          </w:p>
        </w:tc>
        <w:tc>
          <w:tcPr>
            <w:tcW w:w="4675" w:type="dxa"/>
          </w:tcPr>
          <w:p w14:paraId="771B35E6" w14:textId="77777777" w:rsidR="00555A3C" w:rsidRPr="004831AB" w:rsidRDefault="00555A3C" w:rsidP="00BA0240">
            <w:pPr>
              <w:numPr>
                <w:ilvl w:val="0"/>
                <w:numId w:val="44"/>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Превелика уситњеност сектора, ниска просечна економска снага и продуктивност</w:t>
            </w:r>
            <w:r w:rsidR="00BD25DC" w:rsidRPr="004831AB">
              <w:rPr>
                <w:rFonts w:ascii="Times New Roman" w:hAnsi="Times New Roman" w:cs="Times New Roman"/>
                <w:sz w:val="24"/>
                <w:szCs w:val="24"/>
                <w:lang w:val="sr-Cyrl-CS"/>
              </w:rPr>
              <w:t>;</w:t>
            </w:r>
          </w:p>
          <w:p w14:paraId="69EFC232" w14:textId="77777777" w:rsidR="00555A3C" w:rsidRPr="004831AB" w:rsidRDefault="00555A3C" w:rsidP="00BA0240">
            <w:pPr>
              <w:numPr>
                <w:ilvl w:val="0"/>
                <w:numId w:val="44"/>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Секторска концентрација у делатностима са нижом додатом вредношћу и нижом технолошком сложеношћу</w:t>
            </w:r>
            <w:r w:rsidR="00BD25D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p>
          <w:p w14:paraId="2DF9EBEE" w14:textId="77777777" w:rsidR="00555A3C" w:rsidRPr="004831AB" w:rsidRDefault="00555A3C" w:rsidP="00BA0240">
            <w:pPr>
              <w:numPr>
                <w:ilvl w:val="0"/>
                <w:numId w:val="44"/>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Слаба интегрисаност у ланце вредности и међусобна сарадња   (укљученост у ланце добављача, кластере, интересна пословна </w:t>
            </w:r>
            <w:r w:rsidR="00BA0240" w:rsidRPr="004831AB">
              <w:rPr>
                <w:rFonts w:ascii="Times New Roman" w:hAnsi="Times New Roman" w:cs="Times New Roman"/>
                <w:sz w:val="24"/>
                <w:szCs w:val="24"/>
                <w:lang w:val="sr-Cyrl-CS"/>
              </w:rPr>
              <w:t>сарадња</w:t>
            </w:r>
            <w:r w:rsidRPr="004831AB">
              <w:rPr>
                <w:rFonts w:ascii="Times New Roman" w:hAnsi="Times New Roman" w:cs="Times New Roman"/>
                <w:sz w:val="24"/>
                <w:szCs w:val="24"/>
                <w:lang w:val="sr-Cyrl-CS"/>
              </w:rPr>
              <w:t>)</w:t>
            </w:r>
            <w:r w:rsidR="00BD25DC" w:rsidRPr="004831AB">
              <w:rPr>
                <w:rFonts w:ascii="Times New Roman" w:hAnsi="Times New Roman" w:cs="Times New Roman"/>
                <w:sz w:val="24"/>
                <w:szCs w:val="24"/>
                <w:lang w:val="sr-Cyrl-CS"/>
              </w:rPr>
              <w:t>;</w:t>
            </w:r>
          </w:p>
          <w:p w14:paraId="67DCD549" w14:textId="77777777" w:rsidR="00555A3C" w:rsidRPr="004831AB" w:rsidRDefault="00555A3C" w:rsidP="00BA0240">
            <w:pPr>
              <w:numPr>
                <w:ilvl w:val="0"/>
                <w:numId w:val="44"/>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Низак ниво примене напреднијих технологија, напреднијих видова дигитализације и стандарда</w:t>
            </w:r>
            <w:r w:rsidR="00BD25DC" w:rsidRPr="004831AB">
              <w:rPr>
                <w:rFonts w:ascii="Times New Roman" w:hAnsi="Times New Roman" w:cs="Times New Roman"/>
                <w:sz w:val="24"/>
                <w:szCs w:val="24"/>
                <w:lang w:val="sr-Cyrl-CS"/>
              </w:rPr>
              <w:t>;</w:t>
            </w:r>
          </w:p>
          <w:p w14:paraId="1DEF4AD5" w14:textId="77777777" w:rsidR="00555A3C" w:rsidRPr="004831AB" w:rsidRDefault="00BA0240" w:rsidP="00BA0240">
            <w:pPr>
              <w:numPr>
                <w:ilvl w:val="0"/>
                <w:numId w:val="44"/>
              </w:numPr>
              <w:contextualSpacing/>
              <w:jc w:val="both"/>
              <w:rPr>
                <w:rFonts w:ascii="Times New Roman" w:hAnsi="Times New Roman" w:cs="Times New Roman"/>
                <w:i/>
                <w:iCs/>
                <w:sz w:val="24"/>
                <w:szCs w:val="24"/>
                <w:lang w:val="sr-Cyrl-CS"/>
              </w:rPr>
            </w:pPr>
            <w:r w:rsidRPr="004831AB">
              <w:rPr>
                <w:rFonts w:ascii="Times New Roman" w:hAnsi="Times New Roman" w:cs="Times New Roman"/>
                <w:sz w:val="24"/>
                <w:szCs w:val="24"/>
                <w:lang w:val="sr-Cyrl-CS"/>
              </w:rPr>
              <w:t>Недовољно развијено к</w:t>
            </w:r>
            <w:r w:rsidR="00555A3C" w:rsidRPr="004831AB">
              <w:rPr>
                <w:rFonts w:ascii="Times New Roman" w:hAnsi="Times New Roman" w:cs="Times New Roman"/>
                <w:sz w:val="24"/>
                <w:szCs w:val="24"/>
                <w:lang w:val="sr-Cyrl-CS"/>
              </w:rPr>
              <w:t>орпоративно управљање и организација пословања</w:t>
            </w:r>
            <w:r w:rsidR="00BD25DC" w:rsidRPr="004831AB">
              <w:rPr>
                <w:rFonts w:ascii="Times New Roman" w:hAnsi="Times New Roman" w:cs="Times New Roman"/>
                <w:sz w:val="24"/>
                <w:szCs w:val="24"/>
                <w:lang w:val="sr-Cyrl-CS"/>
              </w:rPr>
              <w:t>;</w:t>
            </w:r>
          </w:p>
          <w:p w14:paraId="001683C8" w14:textId="5DAA9A52" w:rsidR="00555A3C" w:rsidRPr="004831AB" w:rsidRDefault="00555A3C" w:rsidP="00BA0240">
            <w:pPr>
              <w:numPr>
                <w:ilvl w:val="0"/>
                <w:numId w:val="44"/>
              </w:numPr>
              <w:contextualSpacing/>
              <w:jc w:val="both"/>
              <w:rPr>
                <w:rFonts w:ascii="Times New Roman" w:hAnsi="Times New Roman" w:cs="Times New Roman"/>
                <w:i/>
                <w:iCs/>
                <w:sz w:val="24"/>
                <w:szCs w:val="24"/>
                <w:lang w:val="sr-Cyrl-CS"/>
              </w:rPr>
            </w:pPr>
            <w:r w:rsidRPr="004831AB">
              <w:rPr>
                <w:rFonts w:ascii="Times New Roman" w:hAnsi="Times New Roman" w:cs="Times New Roman"/>
                <w:sz w:val="24"/>
                <w:szCs w:val="24"/>
                <w:lang w:val="sr-Cyrl-CS"/>
              </w:rPr>
              <w:t>Недовољна посвећеност развоју кадрова, s</w:t>
            </w:r>
            <w:r w:rsidRPr="004831AB">
              <w:rPr>
                <w:rFonts w:ascii="Times New Roman" w:hAnsi="Times New Roman" w:cs="Times New Roman"/>
                <w:i/>
                <w:iCs/>
                <w:sz w:val="24"/>
                <w:szCs w:val="24"/>
                <w:lang w:val="sr-Cyrl-CS"/>
              </w:rPr>
              <w:t xml:space="preserve">oft </w:t>
            </w:r>
            <w:r w:rsidRPr="004831AB">
              <w:rPr>
                <w:rFonts w:ascii="Times New Roman" w:hAnsi="Times New Roman" w:cs="Times New Roman"/>
                <w:sz w:val="24"/>
                <w:szCs w:val="24"/>
                <w:lang w:val="sr-Cyrl-CS"/>
              </w:rPr>
              <w:t>вештина и знања</w:t>
            </w:r>
            <w:r w:rsidR="00BD25DC" w:rsidRPr="004831AB">
              <w:rPr>
                <w:rFonts w:ascii="Times New Roman" w:hAnsi="Times New Roman" w:cs="Times New Roman"/>
                <w:sz w:val="24"/>
                <w:szCs w:val="24"/>
                <w:lang w:val="sr-Cyrl-CS"/>
              </w:rPr>
              <w:t>;</w:t>
            </w:r>
          </w:p>
          <w:p w14:paraId="7ACA3E2F" w14:textId="77777777" w:rsidR="00555A3C" w:rsidRPr="004831AB" w:rsidRDefault="00555A3C" w:rsidP="00BA0240">
            <w:pPr>
              <w:numPr>
                <w:ilvl w:val="0"/>
                <w:numId w:val="44"/>
              </w:numPr>
              <w:contextualSpacing/>
              <w:jc w:val="both"/>
              <w:rPr>
                <w:rFonts w:ascii="Times New Roman" w:hAnsi="Times New Roman" w:cs="Times New Roman"/>
                <w:i/>
                <w:iCs/>
                <w:sz w:val="24"/>
                <w:szCs w:val="24"/>
                <w:lang w:val="sr-Cyrl-CS"/>
              </w:rPr>
            </w:pPr>
            <w:r w:rsidRPr="004831AB">
              <w:rPr>
                <w:rFonts w:ascii="Times New Roman" w:hAnsi="Times New Roman" w:cs="Times New Roman"/>
                <w:sz w:val="24"/>
                <w:szCs w:val="24"/>
                <w:lang w:val="sr-Cyrl-CS"/>
              </w:rPr>
              <w:t>Недовољна окренутост извозу</w:t>
            </w:r>
            <w:r w:rsidR="00BD25D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p>
          <w:p w14:paraId="3BC08990" w14:textId="77777777" w:rsidR="00555A3C" w:rsidRPr="004831AB" w:rsidRDefault="00555A3C" w:rsidP="00555A3C">
            <w:pPr>
              <w:ind w:left="457"/>
              <w:contextualSpacing/>
              <w:jc w:val="both"/>
              <w:rPr>
                <w:rFonts w:ascii="Times New Roman" w:hAnsi="Times New Roman" w:cs="Times New Roman"/>
                <w:sz w:val="24"/>
                <w:szCs w:val="24"/>
                <w:lang w:val="sr-Cyrl-CS"/>
              </w:rPr>
            </w:pPr>
          </w:p>
        </w:tc>
      </w:tr>
      <w:tr w:rsidR="00555A3C" w:rsidRPr="004831AB" w14:paraId="0B8178F8" w14:textId="77777777" w:rsidTr="00D1726B">
        <w:tc>
          <w:tcPr>
            <w:tcW w:w="4675" w:type="dxa"/>
          </w:tcPr>
          <w:p w14:paraId="55FD5616" w14:textId="77777777" w:rsidR="00555A3C" w:rsidRPr="004831AB" w:rsidRDefault="00555A3C" w:rsidP="00555A3C">
            <w:pPr>
              <w:jc w:val="cente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Прилике (O)</w:t>
            </w:r>
          </w:p>
        </w:tc>
        <w:tc>
          <w:tcPr>
            <w:tcW w:w="4675" w:type="dxa"/>
          </w:tcPr>
          <w:p w14:paraId="72DC60FB" w14:textId="77777777" w:rsidR="00555A3C" w:rsidRPr="004831AB" w:rsidRDefault="00555A3C" w:rsidP="00555A3C">
            <w:pPr>
              <w:jc w:val="cente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Претње (T)</w:t>
            </w:r>
          </w:p>
        </w:tc>
      </w:tr>
      <w:tr w:rsidR="00555A3C" w:rsidRPr="004831AB" w14:paraId="01BBB4EF" w14:textId="77777777" w:rsidTr="00D1726B">
        <w:tc>
          <w:tcPr>
            <w:tcW w:w="4675" w:type="dxa"/>
          </w:tcPr>
          <w:p w14:paraId="010A7845" w14:textId="77777777" w:rsidR="00555A3C" w:rsidRPr="004831AB" w:rsidRDefault="00555A3C" w:rsidP="00BA0240">
            <w:pPr>
              <w:numPr>
                <w:ilvl w:val="0"/>
                <w:numId w:val="45"/>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Развој и унапређење сектора са већом додатом вредношћу: ИТ, биотехнологија, креативне индустрије</w:t>
            </w:r>
          </w:p>
          <w:p w14:paraId="09B4AF0F" w14:textId="0DDBA06F" w:rsidR="00555A3C" w:rsidRPr="004831AB" w:rsidRDefault="00555A3C" w:rsidP="00BA0240">
            <w:pPr>
              <w:numPr>
                <w:ilvl w:val="0"/>
                <w:numId w:val="45"/>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Укључивање у глобалне ланце вредности на таласу тренда тражења добављача на географски ближим</w:t>
            </w:r>
            <w:r w:rsidR="00BA0240" w:rsidRPr="004831AB">
              <w:rPr>
                <w:rFonts w:ascii="Times New Roman" w:hAnsi="Times New Roman" w:cs="Times New Roman"/>
                <w:sz w:val="24"/>
                <w:szCs w:val="24"/>
                <w:lang w:val="sr-Cyrl-CS"/>
              </w:rPr>
              <w:t xml:space="preserve"> и пријатељским</w:t>
            </w:r>
            <w:r w:rsidRPr="004831AB">
              <w:rPr>
                <w:rFonts w:ascii="Times New Roman" w:hAnsi="Times New Roman" w:cs="Times New Roman"/>
                <w:sz w:val="24"/>
                <w:szCs w:val="24"/>
                <w:lang w:val="sr-Cyrl-CS"/>
              </w:rPr>
              <w:t xml:space="preserve"> тржиштима (</w:t>
            </w:r>
            <w:r w:rsidRPr="004831AB">
              <w:rPr>
                <w:rFonts w:ascii="Times New Roman" w:hAnsi="Times New Roman" w:cs="Times New Roman"/>
                <w:i/>
                <w:iCs/>
                <w:sz w:val="24"/>
                <w:szCs w:val="24"/>
                <w:lang w:val="sr-Cyrl-CS"/>
              </w:rPr>
              <w:t>nearshoring</w:t>
            </w:r>
            <w:r w:rsidR="00BA0240" w:rsidRPr="004831AB">
              <w:rPr>
                <w:rFonts w:ascii="Times New Roman" w:hAnsi="Times New Roman" w:cs="Times New Roman"/>
                <w:i/>
                <w:iCs/>
                <w:sz w:val="24"/>
                <w:szCs w:val="24"/>
                <w:lang w:val="sr-Cyrl-CS"/>
              </w:rPr>
              <w:t xml:space="preserve"> и friendshoring</w:t>
            </w:r>
            <w:r w:rsidRPr="004831AB">
              <w:rPr>
                <w:rFonts w:ascii="Times New Roman" w:hAnsi="Times New Roman" w:cs="Times New Roman"/>
                <w:sz w:val="24"/>
                <w:szCs w:val="24"/>
                <w:lang w:val="sr-Cyrl-CS"/>
              </w:rPr>
              <w:t xml:space="preserve">) и доласка великих извозно орјентисаних компанија у </w:t>
            </w:r>
            <w:r w:rsidR="00C05BF0" w:rsidRPr="004831AB">
              <w:rPr>
                <w:rFonts w:ascii="Times New Roman" w:hAnsi="Times New Roman" w:cs="Times New Roman"/>
                <w:sz w:val="24"/>
                <w:szCs w:val="24"/>
                <w:lang w:val="sr-Cyrl-CS"/>
              </w:rPr>
              <w:t xml:space="preserve">Републику </w:t>
            </w:r>
            <w:r w:rsidRPr="004831AB">
              <w:rPr>
                <w:rFonts w:ascii="Times New Roman" w:hAnsi="Times New Roman" w:cs="Times New Roman"/>
                <w:sz w:val="24"/>
                <w:szCs w:val="24"/>
                <w:lang w:val="sr-Cyrl-CS"/>
              </w:rPr>
              <w:t>Србију;</w:t>
            </w:r>
          </w:p>
          <w:p w14:paraId="73AC8A92" w14:textId="21B29E24" w:rsidR="00555A3C" w:rsidRPr="004831AB" w:rsidRDefault="00555A3C" w:rsidP="00BA0240">
            <w:pPr>
              <w:numPr>
                <w:ilvl w:val="0"/>
                <w:numId w:val="47"/>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Орије</w:t>
            </w:r>
            <w:r w:rsidR="00754F46" w:rsidRPr="004831AB">
              <w:rPr>
                <w:rFonts w:ascii="Times New Roman" w:hAnsi="Times New Roman" w:cs="Times New Roman"/>
                <w:sz w:val="24"/>
                <w:szCs w:val="24"/>
                <w:lang w:val="sr-Cyrl-CS"/>
              </w:rPr>
              <w:t>н</w:t>
            </w:r>
            <w:r w:rsidRPr="004831AB">
              <w:rPr>
                <w:rFonts w:ascii="Times New Roman" w:hAnsi="Times New Roman" w:cs="Times New Roman"/>
                <w:sz w:val="24"/>
                <w:szCs w:val="24"/>
                <w:lang w:val="sr-Cyrl-CS"/>
              </w:rPr>
              <w:t xml:space="preserve">тација ка одрживом, зеленом и иновативном пословању, отварање </w:t>
            </w:r>
            <w:r w:rsidRPr="004831AB">
              <w:rPr>
                <w:rFonts w:ascii="Times New Roman" w:hAnsi="Times New Roman" w:cs="Times New Roman"/>
                <w:sz w:val="24"/>
                <w:szCs w:val="24"/>
                <w:lang w:val="sr-Cyrl-CS"/>
              </w:rPr>
              <w:lastRenderedPageBreak/>
              <w:t>сектора енергетике за МСПП (прозјумери);</w:t>
            </w:r>
          </w:p>
          <w:p w14:paraId="3D4CEA41" w14:textId="77777777" w:rsidR="00555A3C" w:rsidRPr="004831AB" w:rsidRDefault="00555A3C" w:rsidP="00BA0240">
            <w:pPr>
              <w:numPr>
                <w:ilvl w:val="0"/>
                <w:numId w:val="47"/>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Дигитализација пословања и Е-трговина;</w:t>
            </w:r>
          </w:p>
          <w:p w14:paraId="4AC38E5D" w14:textId="1C9086FB" w:rsidR="00555A3C" w:rsidRPr="004831AB" w:rsidRDefault="00555A3C" w:rsidP="00BA0240">
            <w:pPr>
              <w:numPr>
                <w:ilvl w:val="0"/>
                <w:numId w:val="47"/>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Близина ЕУ тржишта и добра повезаност, ЕУ интеграције</w:t>
            </w:r>
            <w:r w:rsidR="00C05BF0" w:rsidRPr="004831AB">
              <w:rPr>
                <w:rFonts w:ascii="Times New Roman" w:hAnsi="Times New Roman" w:cs="Times New Roman"/>
                <w:sz w:val="24"/>
                <w:szCs w:val="24"/>
                <w:lang w:val="sr-Cyrl-CS"/>
              </w:rPr>
              <w:t xml:space="preserve"> Републике</w:t>
            </w:r>
            <w:r w:rsidRPr="004831AB">
              <w:rPr>
                <w:rFonts w:ascii="Times New Roman" w:hAnsi="Times New Roman" w:cs="Times New Roman"/>
                <w:sz w:val="24"/>
                <w:szCs w:val="24"/>
                <w:lang w:val="sr-Cyrl-CS"/>
              </w:rPr>
              <w:t xml:space="preserve"> Србије; спољнополитичка окренутост сарадњи са свим најразвијенијим привредама у свету и регионалном економском повезивању</w:t>
            </w:r>
            <w:r w:rsidR="00BD25D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p>
          <w:p w14:paraId="4B395BF4" w14:textId="77777777" w:rsidR="00555A3C" w:rsidRPr="004831AB" w:rsidRDefault="00555A3C" w:rsidP="00BA0240">
            <w:pPr>
              <w:numPr>
                <w:ilvl w:val="0"/>
                <w:numId w:val="47"/>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Подршка женама, младима и социјалним предузећима и развој предузетничког духа</w:t>
            </w:r>
          </w:p>
          <w:p w14:paraId="72897522" w14:textId="77777777" w:rsidR="00555A3C" w:rsidRPr="004831AB" w:rsidRDefault="00555A3C" w:rsidP="00555A3C">
            <w:pPr>
              <w:jc w:val="both"/>
              <w:rPr>
                <w:rFonts w:ascii="Times New Roman" w:hAnsi="Times New Roman" w:cs="Times New Roman"/>
                <w:sz w:val="24"/>
                <w:szCs w:val="24"/>
                <w:lang w:val="sr-Cyrl-CS"/>
              </w:rPr>
            </w:pPr>
          </w:p>
        </w:tc>
        <w:tc>
          <w:tcPr>
            <w:tcW w:w="4675" w:type="dxa"/>
          </w:tcPr>
          <w:p w14:paraId="1E5F7CDC" w14:textId="77777777" w:rsidR="00555A3C" w:rsidRPr="004831AB" w:rsidRDefault="00BA0240" w:rsidP="00BA0240">
            <w:pPr>
              <w:numPr>
                <w:ilvl w:val="0"/>
                <w:numId w:val="46"/>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Утицај кри</w:t>
            </w:r>
            <w:r w:rsidR="00555A3C" w:rsidRPr="004831AB">
              <w:rPr>
                <w:rFonts w:ascii="Times New Roman" w:hAnsi="Times New Roman" w:cs="Times New Roman"/>
                <w:sz w:val="24"/>
                <w:szCs w:val="24"/>
                <w:lang w:val="sr-Cyrl-CS"/>
              </w:rPr>
              <w:t xml:space="preserve">зе (пандемија </w:t>
            </w:r>
            <w:r w:rsidR="00BD25DC" w:rsidRPr="004831AB">
              <w:rPr>
                <w:rFonts w:ascii="Times New Roman" w:hAnsi="Times New Roman" w:cs="Times New Roman"/>
                <w:iCs/>
                <w:sz w:val="24"/>
                <w:szCs w:val="24"/>
                <w:lang w:val="sr-Cyrl-CS"/>
              </w:rPr>
              <w:t>COVID</w:t>
            </w:r>
            <w:r w:rsidR="00555A3C" w:rsidRPr="004831AB">
              <w:rPr>
                <w:rFonts w:ascii="Times New Roman" w:hAnsi="Times New Roman" w:cs="Times New Roman"/>
                <w:sz w:val="24"/>
                <w:szCs w:val="24"/>
                <w:lang w:val="sr-Cyrl-CS"/>
              </w:rPr>
              <w:t xml:space="preserve">-19, криза узрокована ратом у Украјини) </w:t>
            </w:r>
            <w:r w:rsidRPr="004831AB">
              <w:rPr>
                <w:rFonts w:ascii="Times New Roman" w:hAnsi="Times New Roman" w:cs="Times New Roman"/>
                <w:sz w:val="24"/>
                <w:szCs w:val="24"/>
                <w:lang w:val="sr-Cyrl-CS"/>
              </w:rPr>
              <w:t xml:space="preserve">на глобалне економске токове </w:t>
            </w:r>
            <w:r w:rsidR="00555A3C" w:rsidRPr="004831AB">
              <w:rPr>
                <w:rFonts w:ascii="Times New Roman" w:hAnsi="Times New Roman" w:cs="Times New Roman"/>
                <w:sz w:val="24"/>
                <w:szCs w:val="24"/>
                <w:lang w:val="sr-Cyrl-CS"/>
              </w:rPr>
              <w:t xml:space="preserve">и </w:t>
            </w:r>
            <w:r w:rsidRPr="004831AB">
              <w:rPr>
                <w:rFonts w:ascii="Times New Roman" w:hAnsi="Times New Roman" w:cs="Times New Roman"/>
                <w:sz w:val="24"/>
                <w:szCs w:val="24"/>
                <w:lang w:val="sr-Cyrl-CS"/>
              </w:rPr>
              <w:t>геополитичка превирања која се рефлектују на положај Републике Србије</w:t>
            </w:r>
            <w:r w:rsidR="00555A3C" w:rsidRPr="004831AB">
              <w:rPr>
                <w:rFonts w:ascii="Times New Roman" w:hAnsi="Times New Roman" w:cs="Times New Roman"/>
                <w:sz w:val="24"/>
                <w:szCs w:val="24"/>
                <w:lang w:val="sr-Cyrl-CS"/>
              </w:rPr>
              <w:t>;</w:t>
            </w:r>
          </w:p>
          <w:p w14:paraId="5045BFCA" w14:textId="77777777" w:rsidR="00555A3C" w:rsidRPr="004831AB" w:rsidRDefault="00555A3C" w:rsidP="00BA0240">
            <w:pPr>
              <w:numPr>
                <w:ilvl w:val="0"/>
                <w:numId w:val="46"/>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Енергенти (</w:t>
            </w:r>
            <w:r w:rsidR="00BA0240" w:rsidRPr="004831AB">
              <w:rPr>
                <w:rFonts w:ascii="Times New Roman" w:hAnsi="Times New Roman" w:cs="Times New Roman"/>
                <w:sz w:val="24"/>
                <w:szCs w:val="24"/>
                <w:lang w:val="sr-Cyrl-CS"/>
              </w:rPr>
              <w:t>несигурност снабдевања,</w:t>
            </w:r>
            <w:r w:rsidRPr="004831AB">
              <w:rPr>
                <w:rFonts w:ascii="Times New Roman" w:hAnsi="Times New Roman" w:cs="Times New Roman"/>
                <w:sz w:val="24"/>
                <w:szCs w:val="24"/>
                <w:lang w:val="sr-Cyrl-CS"/>
              </w:rPr>
              <w:t xml:space="preserve"> цена</w:t>
            </w:r>
            <w:r w:rsidR="00BA0240" w:rsidRPr="004831AB">
              <w:rPr>
                <w:rFonts w:ascii="Times New Roman" w:hAnsi="Times New Roman" w:cs="Times New Roman"/>
                <w:sz w:val="24"/>
                <w:szCs w:val="24"/>
                <w:lang w:val="sr-Cyrl-CS"/>
              </w:rPr>
              <w:t xml:space="preserve"> и притисак ка брзој енергетској транзицији</w:t>
            </w:r>
            <w:r w:rsidRPr="004831AB">
              <w:rPr>
                <w:rFonts w:ascii="Times New Roman" w:hAnsi="Times New Roman" w:cs="Times New Roman"/>
                <w:sz w:val="24"/>
                <w:szCs w:val="24"/>
                <w:lang w:val="sr-Cyrl-CS"/>
              </w:rPr>
              <w:t>);</w:t>
            </w:r>
          </w:p>
          <w:p w14:paraId="1EDB873F" w14:textId="77777777" w:rsidR="00555A3C" w:rsidRPr="004831AB" w:rsidRDefault="00555A3C" w:rsidP="00BA0240">
            <w:pPr>
              <w:numPr>
                <w:ilvl w:val="0"/>
                <w:numId w:val="46"/>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Инфлаторни притисак, раст цена сировина и опреме и курсни ризик;</w:t>
            </w:r>
          </w:p>
          <w:p w14:paraId="66E02DB6" w14:textId="77777777" w:rsidR="00555A3C" w:rsidRPr="004831AB" w:rsidRDefault="00555A3C" w:rsidP="00BA0240">
            <w:pPr>
              <w:numPr>
                <w:ilvl w:val="0"/>
                <w:numId w:val="46"/>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Недовољна доступност</w:t>
            </w:r>
            <w:r w:rsidR="00BA0240" w:rsidRPr="004831AB">
              <w:rPr>
                <w:rFonts w:ascii="Times New Roman" w:hAnsi="Times New Roman" w:cs="Times New Roman"/>
                <w:sz w:val="24"/>
                <w:szCs w:val="24"/>
                <w:lang w:val="sr-Cyrl-CS"/>
              </w:rPr>
              <w:t xml:space="preserve"> и раст трошкова</w:t>
            </w:r>
            <w:r w:rsidRPr="004831AB">
              <w:rPr>
                <w:rFonts w:ascii="Times New Roman" w:hAnsi="Times New Roman" w:cs="Times New Roman"/>
                <w:sz w:val="24"/>
                <w:szCs w:val="24"/>
                <w:lang w:val="sr-Cyrl-CS"/>
              </w:rPr>
              <w:t xml:space="preserve"> радне снаге</w:t>
            </w:r>
            <w:r w:rsidR="00BD25DC" w:rsidRPr="004831AB">
              <w:rPr>
                <w:rFonts w:ascii="Times New Roman" w:hAnsi="Times New Roman" w:cs="Times New Roman"/>
                <w:sz w:val="24"/>
                <w:szCs w:val="24"/>
                <w:lang w:val="sr-Cyrl-CS"/>
              </w:rPr>
              <w:t>;</w:t>
            </w:r>
          </w:p>
          <w:p w14:paraId="4146974D" w14:textId="77777777" w:rsidR="00555A3C" w:rsidRPr="004831AB" w:rsidRDefault="00555A3C" w:rsidP="00BA0240">
            <w:pPr>
              <w:numPr>
                <w:ilvl w:val="0"/>
                <w:numId w:val="46"/>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 xml:space="preserve">Доступност кредита (цена и </w:t>
            </w:r>
            <w:r w:rsidR="00BA0240" w:rsidRPr="004831AB">
              <w:rPr>
                <w:rFonts w:ascii="Times New Roman" w:hAnsi="Times New Roman" w:cs="Times New Roman"/>
                <w:sz w:val="24"/>
                <w:szCs w:val="24"/>
                <w:lang w:val="sr-Cyrl-CS"/>
              </w:rPr>
              <w:t>пооштравање услова за добијање кредита</w:t>
            </w:r>
            <w:r w:rsidRPr="004831AB">
              <w:rPr>
                <w:rFonts w:ascii="Times New Roman" w:hAnsi="Times New Roman" w:cs="Times New Roman"/>
                <w:sz w:val="24"/>
                <w:szCs w:val="24"/>
                <w:lang w:val="sr-Cyrl-CS"/>
              </w:rPr>
              <w:t>)</w:t>
            </w:r>
            <w:r w:rsidR="00BD25DC" w:rsidRPr="004831AB">
              <w:rPr>
                <w:rFonts w:ascii="Times New Roman" w:hAnsi="Times New Roman" w:cs="Times New Roman"/>
                <w:sz w:val="24"/>
                <w:szCs w:val="24"/>
                <w:lang w:val="sr-Cyrl-CS"/>
              </w:rPr>
              <w:t>;</w:t>
            </w:r>
          </w:p>
          <w:p w14:paraId="4C274C4C" w14:textId="77777777" w:rsidR="00555A3C" w:rsidRPr="004831AB" w:rsidRDefault="00555A3C" w:rsidP="00BA0240">
            <w:pPr>
              <w:numPr>
                <w:ilvl w:val="0"/>
                <w:numId w:val="48"/>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Неповољни аспекти пословног окружења (регулаторно и административно оптерећење, фискални и парафискални намети,  сива економија, ефикасност судства, транспарентност</w:t>
            </w:r>
            <w:r w:rsidR="00BA0240" w:rsidRPr="004831AB">
              <w:rPr>
                <w:rFonts w:ascii="Times New Roman" w:hAnsi="Times New Roman" w:cs="Times New Roman"/>
                <w:sz w:val="24"/>
                <w:szCs w:val="24"/>
                <w:lang w:val="sr-Cyrl-CS"/>
              </w:rPr>
              <w:t>, трговина утицајем и корупција</w:t>
            </w:r>
            <w:r w:rsidRPr="004831AB">
              <w:rPr>
                <w:rFonts w:ascii="Times New Roman" w:hAnsi="Times New Roman" w:cs="Times New Roman"/>
                <w:sz w:val="24"/>
                <w:szCs w:val="24"/>
                <w:lang w:val="sr-Cyrl-CS"/>
              </w:rPr>
              <w:t>)</w:t>
            </w:r>
            <w:r w:rsidR="00BD25DC"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p>
          <w:p w14:paraId="1AA6EBF5" w14:textId="77777777" w:rsidR="00555A3C" w:rsidRPr="004831AB" w:rsidRDefault="00555A3C" w:rsidP="00BA0240">
            <w:pPr>
              <w:numPr>
                <w:ilvl w:val="0"/>
                <w:numId w:val="48"/>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Ограничени капацитети и ресурси за спровођење </w:t>
            </w:r>
            <w:r w:rsidR="00BA0240" w:rsidRPr="004831AB">
              <w:rPr>
                <w:rFonts w:ascii="Times New Roman" w:hAnsi="Times New Roman" w:cs="Times New Roman"/>
                <w:sz w:val="24"/>
                <w:szCs w:val="24"/>
                <w:lang w:val="sr-Cyrl-CS"/>
              </w:rPr>
              <w:t xml:space="preserve">мера </w:t>
            </w:r>
            <w:r w:rsidRPr="004831AB">
              <w:rPr>
                <w:rFonts w:ascii="Times New Roman" w:hAnsi="Times New Roman" w:cs="Times New Roman"/>
                <w:sz w:val="24"/>
                <w:szCs w:val="24"/>
                <w:lang w:val="sr-Cyrl-CS"/>
              </w:rPr>
              <w:t>политике МСПП,  координација  институција</w:t>
            </w:r>
            <w:r w:rsidR="00BD25DC" w:rsidRPr="004831AB">
              <w:rPr>
                <w:rFonts w:ascii="Times New Roman" w:hAnsi="Times New Roman" w:cs="Times New Roman"/>
                <w:sz w:val="24"/>
                <w:szCs w:val="24"/>
                <w:lang w:val="sr-Cyrl-CS"/>
              </w:rPr>
              <w:t xml:space="preserve">;  </w:t>
            </w:r>
          </w:p>
          <w:p w14:paraId="10B6E282" w14:textId="77777777" w:rsidR="00555A3C" w:rsidRPr="004831AB" w:rsidRDefault="00555A3C" w:rsidP="00BA0240">
            <w:pPr>
              <w:numPr>
                <w:ilvl w:val="0"/>
                <w:numId w:val="48"/>
              </w:numPr>
              <w:contextualSpacing/>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Формални образовни систем недовољно подстиче предузетнички начин размишљања (</w:t>
            </w:r>
            <w:r w:rsidRPr="004831AB">
              <w:rPr>
                <w:rFonts w:ascii="Times New Roman" w:hAnsi="Times New Roman" w:cs="Times New Roman"/>
                <w:i/>
                <w:iCs/>
                <w:sz w:val="24"/>
                <w:szCs w:val="24"/>
                <w:lang w:val="sr-Cyrl-CS"/>
              </w:rPr>
              <w:t>mind-set</w:t>
            </w:r>
            <w:r w:rsidR="00BD25DC" w:rsidRPr="004831AB">
              <w:rPr>
                <w:rFonts w:ascii="Times New Roman" w:hAnsi="Times New Roman" w:cs="Times New Roman"/>
                <w:sz w:val="24"/>
                <w:szCs w:val="24"/>
                <w:lang w:val="sr-Cyrl-CS"/>
              </w:rPr>
              <w:t xml:space="preserve">). </w:t>
            </w:r>
          </w:p>
          <w:p w14:paraId="531C5A29" w14:textId="77777777" w:rsidR="00555A3C" w:rsidRPr="004831AB" w:rsidRDefault="00555A3C" w:rsidP="00555A3C">
            <w:pPr>
              <w:ind w:left="457"/>
              <w:contextualSpacing/>
              <w:jc w:val="both"/>
              <w:rPr>
                <w:rFonts w:ascii="Times New Roman" w:hAnsi="Times New Roman" w:cs="Times New Roman"/>
                <w:sz w:val="24"/>
                <w:szCs w:val="24"/>
                <w:lang w:val="sr-Cyrl-CS"/>
              </w:rPr>
            </w:pPr>
          </w:p>
        </w:tc>
      </w:tr>
    </w:tbl>
    <w:p w14:paraId="1918E6BB" w14:textId="77777777" w:rsidR="00555A3C" w:rsidRPr="004831AB" w:rsidRDefault="00555A3C" w:rsidP="00555A3C">
      <w:pPr>
        <w:rPr>
          <w:lang w:val="sr-Cyrl-CS"/>
        </w:rPr>
      </w:pPr>
    </w:p>
    <w:p w14:paraId="6B58465C" w14:textId="288C858F" w:rsidR="00BA34A4" w:rsidRPr="004831AB" w:rsidRDefault="00743D55" w:rsidP="00743D55">
      <w:pPr>
        <w:pStyle w:val="Heading2"/>
        <w:spacing w:before="240"/>
        <w:rPr>
          <w:b w:val="0"/>
          <w:lang w:val="sr-Cyrl-CS"/>
        </w:rPr>
      </w:pPr>
      <w:r w:rsidRPr="004831AB">
        <w:rPr>
          <w:b w:val="0"/>
          <w:lang w:val="sr-Cyrl-CS"/>
        </w:rPr>
        <w:t xml:space="preserve">3.4. </w:t>
      </w:r>
      <w:r w:rsidR="00BA34A4" w:rsidRPr="004831AB">
        <w:rPr>
          <w:b w:val="0"/>
          <w:lang w:val="sr-Cyrl-CS"/>
        </w:rPr>
        <w:t>Упоредна међународна пракса</w:t>
      </w:r>
    </w:p>
    <w:p w14:paraId="349031A2" w14:textId="56795BA3" w:rsidR="00373B48" w:rsidRPr="004831AB" w:rsidRDefault="00373B48" w:rsidP="009F36FE">
      <w:pPr>
        <w:spacing w:after="0" w:line="240" w:lineRule="auto"/>
        <w:ind w:firstLine="720"/>
        <w:jc w:val="both"/>
        <w:rPr>
          <w:rStyle w:val="rynqvb"/>
          <w:rFonts w:ascii="Times New Roman" w:hAnsi="Times New Roman" w:cs="Times New Roman"/>
          <w:sz w:val="24"/>
          <w:szCs w:val="24"/>
          <w:lang w:val="sr-Cyrl-CS"/>
        </w:rPr>
      </w:pPr>
      <w:r w:rsidRPr="004831AB">
        <w:rPr>
          <w:rStyle w:val="rynqvb"/>
          <w:rFonts w:ascii="Times New Roman" w:hAnsi="Times New Roman" w:cs="Times New Roman"/>
          <w:sz w:val="24"/>
          <w:szCs w:val="24"/>
          <w:lang w:val="sr-Cyrl-CS"/>
        </w:rPr>
        <w:t xml:space="preserve">Све развијене светске економије препознале су значај и потребу да подрже развој </w:t>
      </w:r>
      <w:r w:rsidR="00BD25DC" w:rsidRPr="004831AB">
        <w:rPr>
          <w:rStyle w:val="rynqvb"/>
          <w:rFonts w:ascii="Times New Roman" w:hAnsi="Times New Roman" w:cs="Times New Roman"/>
          <w:sz w:val="24"/>
          <w:szCs w:val="24"/>
          <w:lang w:val="sr-Cyrl-CS"/>
        </w:rPr>
        <w:t>МСПП</w:t>
      </w:r>
      <w:r w:rsidRPr="004831AB">
        <w:rPr>
          <w:rStyle w:val="rynqvb"/>
          <w:rFonts w:ascii="Times New Roman" w:hAnsi="Times New Roman" w:cs="Times New Roman"/>
          <w:sz w:val="24"/>
          <w:szCs w:val="24"/>
          <w:lang w:val="sr-Cyrl-CS"/>
        </w:rPr>
        <w:t xml:space="preserve"> као кључног фактора економског и друштвеног развоја. У изради ове </w:t>
      </w:r>
      <w:r w:rsidR="00D766D4" w:rsidRPr="004831AB">
        <w:rPr>
          <w:rStyle w:val="rynqvb"/>
          <w:rFonts w:ascii="Times New Roman" w:hAnsi="Times New Roman" w:cs="Times New Roman"/>
          <w:sz w:val="24"/>
          <w:szCs w:val="24"/>
          <w:lang w:val="sr-Cyrl-CS"/>
        </w:rPr>
        <w:t>с</w:t>
      </w:r>
      <w:r w:rsidRPr="004831AB">
        <w:rPr>
          <w:rStyle w:val="rynqvb"/>
          <w:rFonts w:ascii="Times New Roman" w:hAnsi="Times New Roman" w:cs="Times New Roman"/>
          <w:sz w:val="24"/>
          <w:szCs w:val="24"/>
          <w:lang w:val="sr-Cyrl-CS"/>
        </w:rPr>
        <w:t xml:space="preserve">тратегије, </w:t>
      </w:r>
      <w:r w:rsidR="00F11F9F" w:rsidRPr="004831AB">
        <w:rPr>
          <w:rStyle w:val="rynqvb"/>
          <w:rFonts w:ascii="Times New Roman" w:hAnsi="Times New Roman" w:cs="Times New Roman"/>
          <w:sz w:val="24"/>
          <w:szCs w:val="24"/>
          <w:lang w:val="sr-Cyrl-CS"/>
        </w:rPr>
        <w:t xml:space="preserve">посебно је </w:t>
      </w:r>
      <w:r w:rsidRPr="004831AB">
        <w:rPr>
          <w:rStyle w:val="rynqvb"/>
          <w:rFonts w:ascii="Times New Roman" w:hAnsi="Times New Roman" w:cs="Times New Roman"/>
          <w:sz w:val="24"/>
          <w:szCs w:val="24"/>
          <w:lang w:val="sr-Cyrl-CS"/>
        </w:rPr>
        <w:t>анализиран оквир политике МСПП на нивоу ЕУ дефинисан Стратегијом МСП ЕУ и Зелен</w:t>
      </w:r>
      <w:r w:rsidR="00307080" w:rsidRPr="004831AB">
        <w:rPr>
          <w:rStyle w:val="rynqvb"/>
          <w:rFonts w:ascii="Times New Roman" w:hAnsi="Times New Roman" w:cs="Times New Roman"/>
          <w:sz w:val="24"/>
          <w:szCs w:val="24"/>
          <w:lang w:val="sr-Cyrl-CS"/>
        </w:rPr>
        <w:t>о</w:t>
      </w:r>
      <w:r w:rsidRPr="004831AB">
        <w:rPr>
          <w:rStyle w:val="rynqvb"/>
          <w:rFonts w:ascii="Times New Roman" w:hAnsi="Times New Roman" w:cs="Times New Roman"/>
          <w:sz w:val="24"/>
          <w:szCs w:val="24"/>
          <w:lang w:val="sr-Cyrl-CS"/>
        </w:rPr>
        <w:t xml:space="preserve">м агендом ЕУ, упоређени су приступи политикама и управљање механизама широм земаља ЕУ, као и иницијални резултати у спровођењу </w:t>
      </w:r>
      <w:r w:rsidR="00BD25DC" w:rsidRPr="004831AB">
        <w:rPr>
          <w:rStyle w:val="rynqvb"/>
          <w:rFonts w:ascii="Times New Roman" w:hAnsi="Times New Roman" w:cs="Times New Roman"/>
          <w:sz w:val="24"/>
          <w:szCs w:val="24"/>
          <w:lang w:val="sr-Cyrl-CS"/>
        </w:rPr>
        <w:t>политика</w:t>
      </w:r>
      <w:r w:rsidRPr="004831AB">
        <w:rPr>
          <w:rStyle w:val="rynqvb"/>
          <w:rFonts w:ascii="Times New Roman" w:hAnsi="Times New Roman" w:cs="Times New Roman"/>
          <w:sz w:val="24"/>
          <w:szCs w:val="24"/>
          <w:lang w:val="sr-Cyrl-CS"/>
        </w:rPr>
        <w:t>.</w:t>
      </w:r>
      <w:r w:rsidRPr="004831AB">
        <w:rPr>
          <w:rStyle w:val="hwtze"/>
          <w:rFonts w:ascii="Times New Roman" w:hAnsi="Times New Roman" w:cs="Times New Roman"/>
          <w:sz w:val="24"/>
          <w:szCs w:val="24"/>
          <w:lang w:val="sr-Cyrl-CS"/>
        </w:rPr>
        <w:t xml:space="preserve"> </w:t>
      </w:r>
      <w:r w:rsidRPr="004831AB">
        <w:rPr>
          <w:rStyle w:val="rynqvb"/>
          <w:rFonts w:ascii="Times New Roman" w:hAnsi="Times New Roman" w:cs="Times New Roman"/>
          <w:sz w:val="24"/>
          <w:szCs w:val="24"/>
          <w:lang w:val="sr-Cyrl-CS"/>
        </w:rPr>
        <w:t xml:space="preserve">Анализа указује да постоје значајне сличности у циљевима којима се тежи и коришћеним инструментима, као и да земље користе различите моделе управљања како би осигурале кохерентност. </w:t>
      </w:r>
    </w:p>
    <w:p w14:paraId="1ACCD138" w14:textId="77777777" w:rsidR="0053352D" w:rsidRPr="004831AB" w:rsidRDefault="0053352D" w:rsidP="00FD6436">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Све земље чланице ЕУ имају успостављену политику МСП</w:t>
      </w:r>
      <w:r w:rsidR="00A15091"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већ дужи низ година. Иако све државе у своје системе интегришу приоритете из европског оквира политике развоја МСПП, свака адресира и специфичности и потребе свог сектора МСПП. Тако се фокус политике МСПП у земљама чланицама ЕУ, као и циљеви и приоритети који се желе остварити</w:t>
      </w:r>
      <w:r w:rsidR="007355DB" w:rsidRPr="004831AB">
        <w:rPr>
          <w:rFonts w:ascii="Times New Roman" w:hAnsi="Times New Roman" w:cs="Times New Roman"/>
          <w:sz w:val="24"/>
          <w:szCs w:val="24"/>
          <w:lang w:val="sr-Cyrl-CS"/>
        </w:rPr>
        <w:t xml:space="preserve"> разликују и могуће је идентификовати неколико приступа</w:t>
      </w:r>
      <w:r w:rsidRPr="004831AB">
        <w:rPr>
          <w:rFonts w:ascii="Times New Roman" w:hAnsi="Times New Roman" w:cs="Times New Roman"/>
          <w:sz w:val="24"/>
          <w:szCs w:val="24"/>
          <w:lang w:val="sr-Cyrl-CS"/>
        </w:rPr>
        <w:t xml:space="preserve">. У појединим земљама акценат је на активностима које имају за циљ </w:t>
      </w:r>
      <w:r w:rsidRPr="004831AB">
        <w:rPr>
          <w:rFonts w:ascii="Times New Roman" w:hAnsi="Times New Roman" w:cs="Times New Roman"/>
          <w:bCs/>
          <w:sz w:val="24"/>
          <w:szCs w:val="24"/>
          <w:lang w:val="sr-Cyrl-CS"/>
        </w:rPr>
        <w:t>јачање конкурентности, раст (продуктивности) и/или иновације МСП</w:t>
      </w:r>
      <w:r w:rsidR="00A15091" w:rsidRPr="004831AB">
        <w:rPr>
          <w:rFonts w:ascii="Times New Roman" w:hAnsi="Times New Roman" w:cs="Times New Roman"/>
          <w:bCs/>
          <w:sz w:val="24"/>
          <w:szCs w:val="24"/>
          <w:lang w:val="sr-Cyrl-CS"/>
        </w:rPr>
        <w:t>П</w:t>
      </w:r>
      <w:r w:rsidRPr="004831AB">
        <w:rPr>
          <w:rStyle w:val="FootnoteReference"/>
          <w:rFonts w:ascii="Times New Roman" w:hAnsi="Times New Roman" w:cs="Times New Roman"/>
          <w:bCs/>
          <w:sz w:val="24"/>
          <w:szCs w:val="24"/>
          <w:lang w:val="sr-Cyrl-CS"/>
        </w:rPr>
        <w:footnoteReference w:id="36"/>
      </w:r>
      <w:r w:rsidRPr="004831AB">
        <w:rPr>
          <w:rFonts w:ascii="Times New Roman" w:hAnsi="Times New Roman" w:cs="Times New Roman"/>
          <w:sz w:val="24"/>
          <w:szCs w:val="24"/>
          <w:lang w:val="sr-Cyrl-CS"/>
        </w:rPr>
        <w:t xml:space="preserve">. Такође, различите земље укључују и сродне циљеве у погледу </w:t>
      </w:r>
      <w:r w:rsidRPr="004831AB">
        <w:rPr>
          <w:rFonts w:ascii="Times New Roman" w:hAnsi="Times New Roman" w:cs="Times New Roman"/>
          <w:bCs/>
          <w:sz w:val="24"/>
          <w:szCs w:val="24"/>
          <w:lang w:val="sr-Cyrl-CS"/>
        </w:rPr>
        <w:t>интернационализације</w:t>
      </w:r>
      <w:r w:rsidRPr="004831AB">
        <w:rPr>
          <w:rFonts w:ascii="Times New Roman" w:hAnsi="Times New Roman" w:cs="Times New Roman"/>
          <w:sz w:val="24"/>
          <w:szCs w:val="24"/>
          <w:lang w:val="sr-Cyrl-CS"/>
        </w:rPr>
        <w:t xml:space="preserve"> и (све више) </w:t>
      </w:r>
      <w:r w:rsidRPr="004831AB">
        <w:rPr>
          <w:rFonts w:ascii="Times New Roman" w:hAnsi="Times New Roman" w:cs="Times New Roman"/>
          <w:bCs/>
          <w:sz w:val="24"/>
          <w:szCs w:val="24"/>
          <w:lang w:val="sr-Cyrl-CS"/>
        </w:rPr>
        <w:t>дигитализације</w:t>
      </w:r>
      <w:r w:rsidRPr="004831AB">
        <w:rPr>
          <w:rStyle w:val="FootnoteReference"/>
          <w:rFonts w:ascii="Times New Roman" w:hAnsi="Times New Roman" w:cs="Times New Roman"/>
          <w:bCs/>
          <w:sz w:val="24"/>
          <w:szCs w:val="24"/>
          <w:lang w:val="sr-Cyrl-CS"/>
        </w:rPr>
        <w:footnoteReference w:id="37"/>
      </w:r>
      <w:r w:rsidRPr="004831AB">
        <w:rPr>
          <w:rFonts w:ascii="Times New Roman" w:hAnsi="Times New Roman" w:cs="Times New Roman"/>
          <w:sz w:val="24"/>
          <w:szCs w:val="24"/>
          <w:lang w:val="sr-Cyrl-CS"/>
        </w:rPr>
        <w:t xml:space="preserve">. Специфичан фокус представља оквир политике МСПП усмерен на </w:t>
      </w:r>
      <w:r w:rsidRPr="004831AB">
        <w:rPr>
          <w:rFonts w:ascii="Times New Roman" w:hAnsi="Times New Roman" w:cs="Times New Roman"/>
          <w:bCs/>
          <w:sz w:val="24"/>
          <w:szCs w:val="24"/>
          <w:lang w:val="sr-Cyrl-CS"/>
        </w:rPr>
        <w:t xml:space="preserve">предузетништво </w:t>
      </w:r>
      <w:r w:rsidRPr="004831AB">
        <w:rPr>
          <w:rFonts w:ascii="Times New Roman" w:hAnsi="Times New Roman" w:cs="Times New Roman"/>
          <w:sz w:val="24"/>
          <w:szCs w:val="24"/>
          <w:lang w:val="sr-Cyrl-CS"/>
        </w:rPr>
        <w:t>и стварање нових предузетничких подухвата и улагања</w:t>
      </w:r>
      <w:r w:rsidR="008E2180" w:rsidRPr="004831AB">
        <w:rPr>
          <w:rFonts w:ascii="Times New Roman" w:hAnsi="Times New Roman" w:cs="Times New Roman"/>
          <w:sz w:val="24"/>
          <w:szCs w:val="24"/>
          <w:lang w:val="sr-Cyrl-CS"/>
        </w:rPr>
        <w:t>.</w:t>
      </w:r>
      <w:r w:rsidRPr="004831AB">
        <w:rPr>
          <w:rStyle w:val="FootnoteReference"/>
          <w:rFonts w:ascii="Times New Roman" w:hAnsi="Times New Roman" w:cs="Times New Roman"/>
          <w:sz w:val="24"/>
          <w:szCs w:val="24"/>
          <w:lang w:val="sr-Cyrl-CS"/>
        </w:rPr>
        <w:footnoteReference w:id="38"/>
      </w:r>
      <w:r w:rsidRPr="004831AB">
        <w:rPr>
          <w:rFonts w:ascii="Times New Roman" w:hAnsi="Times New Roman" w:cs="Times New Roman"/>
          <w:sz w:val="24"/>
          <w:szCs w:val="24"/>
          <w:lang w:val="sr-Cyrl-CS"/>
        </w:rPr>
        <w:t xml:space="preserve"> Поједине земље у оквиру политике МСП</w:t>
      </w:r>
      <w:r w:rsidR="008E2180"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стављају фокус на креирање нових </w:t>
      </w:r>
      <w:r w:rsidRPr="004831AB">
        <w:rPr>
          <w:rFonts w:ascii="Times New Roman" w:hAnsi="Times New Roman" w:cs="Times New Roman"/>
          <w:sz w:val="24"/>
          <w:szCs w:val="24"/>
          <w:lang w:val="sr-Cyrl-CS"/>
        </w:rPr>
        <w:lastRenderedPageBreak/>
        <w:t xml:space="preserve">послова и </w:t>
      </w:r>
      <w:r w:rsidRPr="004831AB">
        <w:rPr>
          <w:rFonts w:ascii="Times New Roman" w:hAnsi="Times New Roman" w:cs="Times New Roman"/>
          <w:bCs/>
          <w:sz w:val="24"/>
          <w:szCs w:val="24"/>
          <w:lang w:val="sr-Cyrl-CS"/>
        </w:rPr>
        <w:t>запошљавање и инклузију</w:t>
      </w:r>
      <w:r w:rsidRPr="004831AB">
        <w:rPr>
          <w:rFonts w:ascii="Times New Roman" w:hAnsi="Times New Roman" w:cs="Times New Roman"/>
          <w:sz w:val="24"/>
          <w:szCs w:val="24"/>
          <w:lang w:val="sr-Cyrl-CS"/>
        </w:rPr>
        <w:t xml:space="preserve"> специфичних циљних група и друштвени утицај и </w:t>
      </w:r>
      <w:r w:rsidRPr="004831AB">
        <w:rPr>
          <w:rFonts w:ascii="Times New Roman" w:hAnsi="Times New Roman" w:cs="Times New Roman"/>
          <w:bCs/>
          <w:sz w:val="24"/>
          <w:szCs w:val="24"/>
          <w:lang w:val="sr-Cyrl-CS"/>
        </w:rPr>
        <w:t>смањење регионалних диспропорција</w:t>
      </w:r>
      <w:r w:rsidRPr="004831AB">
        <w:rPr>
          <w:rFonts w:ascii="Times New Roman" w:hAnsi="Times New Roman" w:cs="Times New Roman"/>
          <w:sz w:val="24"/>
          <w:szCs w:val="24"/>
          <w:lang w:val="sr-Cyrl-CS"/>
        </w:rPr>
        <w:t>.</w:t>
      </w:r>
      <w:r w:rsidR="008E2180" w:rsidRPr="004831AB">
        <w:rPr>
          <w:rStyle w:val="FootnoteReference"/>
          <w:rFonts w:ascii="Times New Roman" w:hAnsi="Times New Roman" w:cs="Times New Roman"/>
          <w:sz w:val="24"/>
          <w:szCs w:val="24"/>
          <w:lang w:val="sr-Cyrl-CS"/>
        </w:rPr>
        <w:footnoteReference w:id="39"/>
      </w:r>
    </w:p>
    <w:p w14:paraId="3E83221E" w14:textId="58548D0D" w:rsidR="0053352D" w:rsidRPr="004831AB" w:rsidRDefault="0053352D" w:rsidP="00FD6436">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Такође, у циљу ефикасне и ефективне имплементације политике, формулисани су специфични </w:t>
      </w:r>
      <w:r w:rsidRPr="004831AB">
        <w:rPr>
          <w:rFonts w:ascii="Times New Roman" w:hAnsi="Times New Roman" w:cs="Times New Roman"/>
          <w:bCs/>
          <w:sz w:val="24"/>
          <w:szCs w:val="24"/>
          <w:lang w:val="sr-Cyrl-CS"/>
        </w:rPr>
        <w:t>инструменти и циљана програмска подршка МСП</w:t>
      </w:r>
      <w:r w:rsidR="008E2180" w:rsidRPr="004831AB">
        <w:rPr>
          <w:rFonts w:ascii="Times New Roman" w:hAnsi="Times New Roman" w:cs="Times New Roman"/>
          <w:bCs/>
          <w:sz w:val="24"/>
          <w:szCs w:val="24"/>
          <w:lang w:val="sr-Cyrl-CS"/>
        </w:rPr>
        <w:t>П</w:t>
      </w:r>
      <w:r w:rsidRPr="004831AB">
        <w:rPr>
          <w:rFonts w:ascii="Times New Roman" w:hAnsi="Times New Roman" w:cs="Times New Roman"/>
          <w:sz w:val="24"/>
          <w:szCs w:val="24"/>
          <w:lang w:val="sr-Cyrl-CS"/>
        </w:rPr>
        <w:t xml:space="preserve">. Можемо закључити да све земље стављају снажан нагласак на </w:t>
      </w:r>
      <w:r w:rsidRPr="004831AB">
        <w:rPr>
          <w:rFonts w:ascii="Times New Roman" w:hAnsi="Times New Roman" w:cs="Times New Roman"/>
          <w:iCs/>
          <w:sz w:val="24"/>
          <w:szCs w:val="24"/>
          <w:lang w:val="sr-Cyrl-CS"/>
        </w:rPr>
        <w:t>побољшање оквирних и регулаторних услова</w:t>
      </w:r>
      <w:r w:rsidRPr="004831AB">
        <w:rPr>
          <w:rFonts w:ascii="Times New Roman" w:hAnsi="Times New Roman" w:cs="Times New Roman"/>
          <w:sz w:val="24"/>
          <w:szCs w:val="24"/>
          <w:lang w:val="sr-Cyrl-CS"/>
        </w:rPr>
        <w:t xml:space="preserve"> и смањење бирократије и непотребних трошкова за МСП</w:t>
      </w:r>
      <w:r w:rsidR="008E2180"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као и на специфичне сегменте пореске политике и унапређење е-</w:t>
      </w:r>
      <w:r w:rsidR="008E2180" w:rsidRPr="004831AB">
        <w:rPr>
          <w:rFonts w:ascii="Times New Roman" w:hAnsi="Times New Roman" w:cs="Times New Roman"/>
          <w:sz w:val="24"/>
          <w:szCs w:val="24"/>
          <w:lang w:val="sr-Cyrl-CS"/>
        </w:rPr>
        <w:t>управе</w:t>
      </w:r>
      <w:r w:rsidRPr="004831AB">
        <w:rPr>
          <w:rFonts w:ascii="Times New Roman" w:hAnsi="Times New Roman" w:cs="Times New Roman"/>
          <w:sz w:val="24"/>
          <w:szCs w:val="24"/>
          <w:lang w:val="sr-Cyrl-CS"/>
        </w:rPr>
        <w:t xml:space="preserve">. У оквиру </w:t>
      </w:r>
      <w:r w:rsidRPr="004831AB">
        <w:rPr>
          <w:rFonts w:ascii="Times New Roman" w:hAnsi="Times New Roman" w:cs="Times New Roman"/>
          <w:iCs/>
          <w:sz w:val="24"/>
          <w:szCs w:val="24"/>
          <w:lang w:val="sr-Cyrl-CS"/>
        </w:rPr>
        <w:t>приступа финансијама</w:t>
      </w:r>
      <w:r w:rsidRPr="004831AB">
        <w:rPr>
          <w:rFonts w:ascii="Times New Roman" w:hAnsi="Times New Roman" w:cs="Times New Roman"/>
          <w:sz w:val="24"/>
          <w:szCs w:val="24"/>
          <w:lang w:val="sr-Cyrl-CS"/>
        </w:rPr>
        <w:t xml:space="preserve"> успоста</w:t>
      </w:r>
      <w:r w:rsidR="00A15091" w:rsidRPr="004831AB">
        <w:rPr>
          <w:rFonts w:ascii="Times New Roman" w:hAnsi="Times New Roman" w:cs="Times New Roman"/>
          <w:sz w:val="24"/>
          <w:szCs w:val="24"/>
          <w:lang w:val="sr-Cyrl-CS"/>
        </w:rPr>
        <w:t>в</w:t>
      </w:r>
      <w:r w:rsidRPr="004831AB">
        <w:rPr>
          <w:rFonts w:ascii="Times New Roman" w:hAnsi="Times New Roman" w:cs="Times New Roman"/>
          <w:sz w:val="24"/>
          <w:szCs w:val="24"/>
          <w:lang w:val="sr-Cyrl-CS"/>
        </w:rPr>
        <w:t>љен је широк спектар финансијских инструмената и производа намењених искључиво МСП</w:t>
      </w:r>
      <w:r w:rsidR="00A15091"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сходно њиховим развојним потребама и животном циклусу. У оквиру </w:t>
      </w:r>
      <w:r w:rsidRPr="004831AB">
        <w:rPr>
          <w:rFonts w:ascii="Times New Roman" w:hAnsi="Times New Roman" w:cs="Times New Roman"/>
          <w:iCs/>
          <w:sz w:val="24"/>
          <w:szCs w:val="24"/>
          <w:lang w:val="sr-Cyrl-CS"/>
        </w:rPr>
        <w:t>интернационализације</w:t>
      </w:r>
      <w:r w:rsidRPr="004831AB">
        <w:rPr>
          <w:rFonts w:ascii="Times New Roman" w:hAnsi="Times New Roman" w:cs="Times New Roman"/>
          <w:sz w:val="24"/>
          <w:szCs w:val="24"/>
          <w:lang w:val="sr-Cyrl-CS"/>
        </w:rPr>
        <w:t xml:space="preserve">, мере су усмерене ка ублажавању трошкова својствених интернационализацији и наступу на новим тржиштима. </w:t>
      </w:r>
      <w:r w:rsidRPr="004831AB">
        <w:rPr>
          <w:rFonts w:ascii="Times New Roman" w:hAnsi="Times New Roman" w:cs="Times New Roman"/>
          <w:iCs/>
          <w:sz w:val="24"/>
          <w:szCs w:val="24"/>
          <w:lang w:val="sr-Cyrl-CS"/>
        </w:rPr>
        <w:t>Иновациона подршка</w:t>
      </w:r>
      <w:r w:rsidRPr="004831AB">
        <w:rPr>
          <w:rFonts w:ascii="Times New Roman" w:hAnsi="Times New Roman" w:cs="Times New Roman"/>
          <w:sz w:val="24"/>
          <w:szCs w:val="24"/>
          <w:lang w:val="sr-Cyrl-CS"/>
        </w:rPr>
        <w:t xml:space="preserve"> се све више фокусира на подржавање специфичних група предузетника, као што су почетници и иновативна МСП</w:t>
      </w:r>
      <w:r w:rsidR="008E2180"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са потенцијалом високог раста кроз специфичне пореске олакшице и директно финансирање иновативних пројеката. Што се тиче фокуса ка </w:t>
      </w:r>
      <w:r w:rsidRPr="004831AB">
        <w:rPr>
          <w:rFonts w:ascii="Times New Roman" w:hAnsi="Times New Roman" w:cs="Times New Roman"/>
          <w:iCs/>
          <w:sz w:val="24"/>
          <w:szCs w:val="24"/>
          <w:lang w:val="sr-Cyrl-CS"/>
        </w:rPr>
        <w:t>дигитализацији</w:t>
      </w:r>
      <w:r w:rsidRPr="004831AB">
        <w:rPr>
          <w:rFonts w:ascii="Times New Roman" w:hAnsi="Times New Roman" w:cs="Times New Roman"/>
          <w:sz w:val="24"/>
          <w:szCs w:val="24"/>
          <w:lang w:val="sr-Cyrl-CS"/>
        </w:rPr>
        <w:t>, све већи број земаља је успоставио директну финансијску или нефинансијску подршку (обука, кампање подизања свести) како би се убрзала дигиталн</w:t>
      </w:r>
      <w:r w:rsidR="008E2180"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 xml:space="preserve"> транзициј</w:t>
      </w:r>
      <w:r w:rsidR="008E2180" w:rsidRPr="004831AB">
        <w:rPr>
          <w:rFonts w:ascii="Times New Roman" w:hAnsi="Times New Roman" w:cs="Times New Roman"/>
          <w:sz w:val="24"/>
          <w:szCs w:val="24"/>
          <w:lang w:val="sr-Cyrl-CS"/>
        </w:rPr>
        <w:t>а</w:t>
      </w:r>
      <w:r w:rsidRPr="004831AB">
        <w:rPr>
          <w:rFonts w:ascii="Times New Roman" w:hAnsi="Times New Roman" w:cs="Times New Roman"/>
          <w:sz w:val="24"/>
          <w:szCs w:val="24"/>
          <w:lang w:val="sr-Cyrl-CS"/>
        </w:rPr>
        <w:t xml:space="preserve"> МСП</w:t>
      </w:r>
      <w:r w:rsidR="008E2180"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Различите земље су успоставиле програмску подршку МСП</w:t>
      </w:r>
      <w:r w:rsidR="008E2180"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xml:space="preserve"> у вези са развојем специфичних </w:t>
      </w:r>
      <w:r w:rsidRPr="004831AB">
        <w:rPr>
          <w:rFonts w:ascii="Times New Roman" w:hAnsi="Times New Roman" w:cs="Times New Roman"/>
          <w:iCs/>
          <w:sz w:val="24"/>
          <w:szCs w:val="24"/>
          <w:lang w:val="sr-Cyrl-CS"/>
        </w:rPr>
        <w:t>вештина</w:t>
      </w:r>
      <w:r w:rsidRPr="004831AB">
        <w:rPr>
          <w:rFonts w:ascii="Times New Roman" w:hAnsi="Times New Roman" w:cs="Times New Roman"/>
          <w:sz w:val="24"/>
          <w:szCs w:val="24"/>
          <w:lang w:val="sr-Cyrl-CS"/>
        </w:rPr>
        <w:t>. Поред тога, промовишу се и предности обуке на радном месту и укључивање перспективе МСП</w:t>
      </w:r>
      <w:r w:rsidR="008E2180" w:rsidRPr="004831AB">
        <w:rPr>
          <w:rFonts w:ascii="Times New Roman" w:hAnsi="Times New Roman" w:cs="Times New Roman"/>
          <w:sz w:val="24"/>
          <w:szCs w:val="24"/>
          <w:lang w:val="sr-Cyrl-CS"/>
        </w:rPr>
        <w:t xml:space="preserve">П </w:t>
      </w:r>
      <w:r w:rsidRPr="004831AB">
        <w:rPr>
          <w:rFonts w:ascii="Times New Roman" w:hAnsi="Times New Roman" w:cs="Times New Roman"/>
          <w:sz w:val="24"/>
          <w:szCs w:val="24"/>
          <w:lang w:val="sr-Cyrl-CS"/>
        </w:rPr>
        <w:t xml:space="preserve">у шире образовне </w:t>
      </w:r>
      <w:r w:rsidR="008E2180" w:rsidRPr="004831AB">
        <w:rPr>
          <w:rFonts w:ascii="Times New Roman" w:hAnsi="Times New Roman" w:cs="Times New Roman"/>
          <w:sz w:val="24"/>
          <w:szCs w:val="24"/>
          <w:lang w:val="sr-Cyrl-CS"/>
        </w:rPr>
        <w:t>схеме</w:t>
      </w:r>
      <w:r w:rsidRPr="004831AB">
        <w:rPr>
          <w:rFonts w:ascii="Times New Roman" w:hAnsi="Times New Roman" w:cs="Times New Roman"/>
          <w:sz w:val="24"/>
          <w:szCs w:val="24"/>
          <w:lang w:val="sr-Cyrl-CS"/>
        </w:rPr>
        <w:t xml:space="preserve">, како би се омогућила боља усклађеност између потреба и понуде расположивих људских ресурса са специфичним вештинама. Такође, неке земље су успоставиле инструменте политике који су посебно усмерени на побољшање </w:t>
      </w:r>
      <w:r w:rsidRPr="004831AB">
        <w:rPr>
          <w:rFonts w:ascii="Times New Roman" w:hAnsi="Times New Roman" w:cs="Times New Roman"/>
          <w:iCs/>
          <w:sz w:val="24"/>
          <w:szCs w:val="24"/>
          <w:lang w:val="sr-Cyrl-CS"/>
        </w:rPr>
        <w:t>еколошког учинка</w:t>
      </w:r>
      <w:r w:rsidRPr="004831AB">
        <w:rPr>
          <w:rFonts w:ascii="Times New Roman" w:hAnsi="Times New Roman" w:cs="Times New Roman"/>
          <w:i/>
          <w:iCs/>
          <w:sz w:val="24"/>
          <w:szCs w:val="24"/>
          <w:lang w:val="sr-Cyrl-CS"/>
        </w:rPr>
        <w:t xml:space="preserve"> </w:t>
      </w:r>
      <w:r w:rsidRPr="004831AB">
        <w:rPr>
          <w:rFonts w:ascii="Times New Roman" w:hAnsi="Times New Roman" w:cs="Times New Roman"/>
          <w:sz w:val="24"/>
          <w:szCs w:val="24"/>
          <w:lang w:val="sr-Cyrl-CS"/>
        </w:rPr>
        <w:t>МСП</w:t>
      </w:r>
      <w:r w:rsidR="00A15091"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 проширењем саветодавних услуга о одрживости или комбинацијом општих и циљаних мера за подршку МСП</w:t>
      </w:r>
      <w:r w:rsidR="00A15091" w:rsidRPr="004831AB">
        <w:rPr>
          <w:rFonts w:ascii="Times New Roman" w:hAnsi="Times New Roman" w:cs="Times New Roman"/>
          <w:sz w:val="24"/>
          <w:szCs w:val="24"/>
          <w:lang w:val="sr-Cyrl-CS"/>
        </w:rPr>
        <w:t>П</w:t>
      </w:r>
      <w:r w:rsidRPr="004831AB">
        <w:rPr>
          <w:rFonts w:ascii="Times New Roman" w:hAnsi="Times New Roman" w:cs="Times New Roman"/>
          <w:sz w:val="24"/>
          <w:szCs w:val="24"/>
          <w:lang w:val="sr-Cyrl-CS"/>
        </w:rPr>
        <w:t>.</w:t>
      </w:r>
    </w:p>
    <w:p w14:paraId="47C0AB65" w14:textId="76FBC733" w:rsidR="008E2180" w:rsidRPr="004831AB" w:rsidRDefault="008E2180" w:rsidP="00FD6436">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У имплементацији националних политика развоја МСПП, чиме доприносе и остваривању оквира политике МСПП на нивоу ЕУ, државе чланице сем из националних буџета средства за финансирање програма подршке МСПП добијају и из структурних фондова, као и различитих програма ЕУ. Ове фондове и програме </w:t>
      </w:r>
      <w:r w:rsidR="0079367A" w:rsidRPr="004831AB">
        <w:rPr>
          <w:rFonts w:ascii="Times New Roman" w:hAnsi="Times New Roman" w:cs="Times New Roman"/>
          <w:sz w:val="24"/>
          <w:szCs w:val="24"/>
          <w:lang w:val="sr-Cyrl-CS"/>
        </w:rPr>
        <w:t>државе чланице</w:t>
      </w:r>
      <w:r w:rsidRPr="004831AB">
        <w:rPr>
          <w:rFonts w:ascii="Times New Roman" w:hAnsi="Times New Roman" w:cs="Times New Roman"/>
          <w:sz w:val="24"/>
          <w:szCs w:val="24"/>
          <w:lang w:val="sr-Cyrl-CS"/>
        </w:rPr>
        <w:t xml:space="preserve"> користе како за нефинансијску подршку МСПП, </w:t>
      </w:r>
      <w:r w:rsidR="0079367A" w:rsidRPr="004831AB">
        <w:rPr>
          <w:rFonts w:ascii="Times New Roman" w:hAnsi="Times New Roman" w:cs="Times New Roman"/>
          <w:sz w:val="24"/>
          <w:szCs w:val="24"/>
          <w:lang w:val="sr-Cyrl-CS"/>
        </w:rPr>
        <w:t>тако</w:t>
      </w:r>
      <w:r w:rsidRPr="004831AB">
        <w:rPr>
          <w:rFonts w:ascii="Times New Roman" w:hAnsi="Times New Roman" w:cs="Times New Roman"/>
          <w:sz w:val="24"/>
          <w:szCs w:val="24"/>
          <w:lang w:val="sr-Cyrl-CS"/>
        </w:rPr>
        <w:t xml:space="preserve"> и за директну финансијску</w:t>
      </w:r>
      <w:r w:rsidR="0079367A" w:rsidRPr="004831AB">
        <w:rPr>
          <w:rFonts w:ascii="Times New Roman" w:hAnsi="Times New Roman" w:cs="Times New Roman"/>
          <w:sz w:val="24"/>
          <w:szCs w:val="24"/>
          <w:lang w:val="sr-Cyrl-CS"/>
        </w:rPr>
        <w:t xml:space="preserve"> подршку</w:t>
      </w:r>
      <w:r w:rsidRPr="004831AB">
        <w:rPr>
          <w:rFonts w:ascii="Times New Roman" w:hAnsi="Times New Roman" w:cs="Times New Roman"/>
          <w:sz w:val="24"/>
          <w:szCs w:val="24"/>
          <w:lang w:val="sr-Cyrl-CS"/>
        </w:rPr>
        <w:t xml:space="preserve">, кроз различите грантове и/или развој нових финансијских инструмената.  </w:t>
      </w:r>
    </w:p>
    <w:p w14:paraId="457C1B02" w14:textId="2F088C15" w:rsidR="00DF4ACC" w:rsidRPr="004831AB" w:rsidRDefault="00A24917" w:rsidP="00FD6436">
      <w:pPr>
        <w:tabs>
          <w:tab w:val="left" w:pos="0"/>
          <w:tab w:val="left" w:pos="990"/>
        </w:tabs>
        <w:spacing w:after="0" w:line="240" w:lineRule="auto"/>
        <w:jc w:val="both"/>
        <w:rPr>
          <w:rFonts w:ascii="Times New Roman" w:hAnsi="Times New Roman" w:cs="Times New Roman"/>
          <w:sz w:val="24"/>
          <w:szCs w:val="24"/>
          <w:u w:val="single"/>
          <w:lang w:val="sr-Cyrl-CS"/>
        </w:rPr>
      </w:pPr>
      <w:r w:rsidRPr="004831AB">
        <w:rPr>
          <w:rFonts w:ascii="Times New Roman" w:hAnsi="Times New Roman" w:cs="Times New Roman"/>
          <w:sz w:val="24"/>
          <w:szCs w:val="24"/>
          <w:lang w:val="sr-Cyrl-CS"/>
        </w:rPr>
        <w:tab/>
      </w:r>
      <w:r w:rsidR="008E2180" w:rsidRPr="004831AB">
        <w:rPr>
          <w:rFonts w:ascii="Times New Roman" w:hAnsi="Times New Roman" w:cs="Times New Roman"/>
          <w:sz w:val="24"/>
          <w:szCs w:val="24"/>
          <w:lang w:val="sr-Cyrl-CS"/>
        </w:rPr>
        <w:t>Република Србија није у овом тренутку у могућности да користи све фондове који су расположиви у процесу формул</w:t>
      </w:r>
      <w:r w:rsidR="007F49B3" w:rsidRPr="004831AB">
        <w:rPr>
          <w:rFonts w:ascii="Times New Roman" w:hAnsi="Times New Roman" w:cs="Times New Roman"/>
          <w:sz w:val="24"/>
          <w:szCs w:val="24"/>
          <w:lang w:val="sr-Cyrl-CS"/>
        </w:rPr>
        <w:t>исања и спровођења</w:t>
      </w:r>
      <w:r w:rsidR="008E2180" w:rsidRPr="004831AB">
        <w:rPr>
          <w:rFonts w:ascii="Times New Roman" w:hAnsi="Times New Roman" w:cs="Times New Roman"/>
          <w:sz w:val="24"/>
          <w:szCs w:val="24"/>
          <w:lang w:val="sr-Cyrl-CS"/>
        </w:rPr>
        <w:t xml:space="preserve"> политике МСПП у ЕУ. Ипак, неопходно је да се разумеју ови процеси, модели и механизми финансирања МСПП, како би се Србија на време припремила за период када ти фондови буду у потпуности доступни за додатно финансира</w:t>
      </w:r>
      <w:r w:rsidR="007F49B3" w:rsidRPr="004831AB">
        <w:rPr>
          <w:rFonts w:ascii="Times New Roman" w:hAnsi="Times New Roman" w:cs="Times New Roman"/>
          <w:sz w:val="24"/>
          <w:szCs w:val="24"/>
          <w:lang w:val="sr-Cyrl-CS"/>
        </w:rPr>
        <w:t>њ</w:t>
      </w:r>
      <w:r w:rsidR="008E2180" w:rsidRPr="004831AB">
        <w:rPr>
          <w:rFonts w:ascii="Times New Roman" w:hAnsi="Times New Roman" w:cs="Times New Roman"/>
          <w:sz w:val="24"/>
          <w:szCs w:val="24"/>
          <w:lang w:val="sr-Cyrl-CS"/>
        </w:rPr>
        <w:t xml:space="preserve">е инструмената </w:t>
      </w:r>
      <w:r w:rsidR="007F49B3" w:rsidRPr="004831AB">
        <w:rPr>
          <w:rFonts w:ascii="Times New Roman" w:hAnsi="Times New Roman" w:cs="Times New Roman"/>
          <w:sz w:val="24"/>
          <w:szCs w:val="24"/>
          <w:lang w:val="sr-Cyrl-CS"/>
        </w:rPr>
        <w:t>подршке сектору</w:t>
      </w:r>
      <w:r w:rsidR="008E2180" w:rsidRPr="004831AB">
        <w:rPr>
          <w:rFonts w:ascii="Times New Roman" w:hAnsi="Times New Roman" w:cs="Times New Roman"/>
          <w:sz w:val="24"/>
          <w:szCs w:val="24"/>
          <w:lang w:val="sr-Cyrl-CS"/>
        </w:rPr>
        <w:t xml:space="preserve"> МСПП.</w:t>
      </w:r>
    </w:p>
    <w:p w14:paraId="4524E2FC" w14:textId="77777777" w:rsidR="00605880" w:rsidRPr="004831AB" w:rsidRDefault="00605880" w:rsidP="00524FAE">
      <w:pPr>
        <w:spacing w:after="0" w:line="240" w:lineRule="auto"/>
        <w:rPr>
          <w:rStyle w:val="normaltextrun"/>
          <w:rFonts w:ascii="Times New Roman" w:eastAsia="Times New Roman" w:hAnsi="Times New Roman" w:cs="Times New Roman"/>
          <w:sz w:val="20"/>
          <w:szCs w:val="20"/>
          <w:lang w:val="sr-Cyrl-CS"/>
        </w:rPr>
      </w:pPr>
    </w:p>
    <w:p w14:paraId="3324AD6C" w14:textId="77777777" w:rsidR="00B25EF2" w:rsidRPr="004831AB" w:rsidRDefault="00B25EF2" w:rsidP="00FD6436">
      <w:pPr>
        <w:pStyle w:val="Heading1"/>
        <w:jc w:val="center"/>
        <w:rPr>
          <w:b w:val="0"/>
          <w:sz w:val="24"/>
          <w:szCs w:val="24"/>
          <w:lang w:val="sr-Cyrl-CS"/>
        </w:rPr>
      </w:pPr>
      <w:r w:rsidRPr="004831AB">
        <w:rPr>
          <w:b w:val="0"/>
          <w:sz w:val="24"/>
          <w:szCs w:val="24"/>
          <w:lang w:val="sr-Cyrl-CS"/>
        </w:rPr>
        <w:t>Промена која</w:t>
      </w:r>
      <w:r w:rsidR="009F0BBB" w:rsidRPr="004831AB">
        <w:rPr>
          <w:b w:val="0"/>
          <w:sz w:val="24"/>
          <w:szCs w:val="24"/>
          <w:lang w:val="sr-Cyrl-CS"/>
        </w:rPr>
        <w:t xml:space="preserve"> се постиже спровођењем стратегије</w:t>
      </w:r>
    </w:p>
    <w:p w14:paraId="211DD3D7" w14:textId="77777777" w:rsidR="00B86662" w:rsidRPr="004831AB" w:rsidRDefault="00B86662" w:rsidP="00060371">
      <w:pPr>
        <w:pStyle w:val="Heading2"/>
        <w:spacing w:after="120"/>
        <w:ind w:firstLine="0"/>
        <w:rPr>
          <w:b w:val="0"/>
          <w:lang w:val="sr-Cyrl-CS"/>
        </w:rPr>
      </w:pPr>
      <w:r w:rsidRPr="004831AB">
        <w:rPr>
          <w:b w:val="0"/>
          <w:lang w:val="sr-Cyrl-CS"/>
        </w:rPr>
        <w:t xml:space="preserve">Визија: </w:t>
      </w:r>
    </w:p>
    <w:p w14:paraId="10549D26" w14:textId="3CA230EB" w:rsidR="00CD3457" w:rsidRPr="004831AB" w:rsidRDefault="00FD6436" w:rsidP="00CD3457">
      <w:pPr>
        <w:tabs>
          <w:tab w:val="left" w:pos="0"/>
          <w:tab w:val="left" w:pos="990"/>
        </w:tabs>
        <w:spacing w:after="240" w:line="240" w:lineRule="auto"/>
        <w:jc w:val="both"/>
        <w:rPr>
          <w:rFonts w:ascii="Times New Roman" w:hAnsi="Times New Roman" w:cs="Times New Roman"/>
          <w:iCs/>
          <w:sz w:val="24"/>
          <w:szCs w:val="24"/>
          <w:lang w:val="sr-Cyrl-CS"/>
        </w:rPr>
      </w:pPr>
      <w:r w:rsidRPr="004831AB">
        <w:rPr>
          <w:rFonts w:ascii="Times New Roman" w:hAnsi="Times New Roman" w:cs="Times New Roman"/>
          <w:iCs/>
          <w:sz w:val="24"/>
          <w:szCs w:val="24"/>
          <w:lang w:val="sr-Cyrl-CS"/>
        </w:rPr>
        <w:t xml:space="preserve">     </w:t>
      </w:r>
      <w:r w:rsidR="00A674CA" w:rsidRPr="004831AB">
        <w:rPr>
          <w:rFonts w:ascii="Times New Roman" w:hAnsi="Times New Roman" w:cs="Times New Roman"/>
          <w:iCs/>
          <w:sz w:val="24"/>
          <w:szCs w:val="24"/>
          <w:lang w:val="sr-Cyrl-CS"/>
        </w:rPr>
        <w:t xml:space="preserve"> </w:t>
      </w:r>
      <w:r w:rsidR="00060371" w:rsidRPr="004831AB">
        <w:rPr>
          <w:rFonts w:ascii="Times New Roman" w:hAnsi="Times New Roman" w:cs="Times New Roman"/>
          <w:iCs/>
          <w:sz w:val="24"/>
          <w:szCs w:val="24"/>
          <w:lang w:val="sr-Cyrl-CS"/>
        </w:rPr>
        <w:t xml:space="preserve">      </w:t>
      </w:r>
      <w:r w:rsidR="00CD3457" w:rsidRPr="004831AB">
        <w:rPr>
          <w:rFonts w:ascii="Times New Roman" w:hAnsi="Times New Roman" w:cs="Times New Roman"/>
          <w:iCs/>
          <w:sz w:val="24"/>
          <w:szCs w:val="24"/>
          <w:lang w:val="sr-Cyrl-CS"/>
        </w:rPr>
        <w:t>Иновативна, конкурентна, зелена и одржива МСПП отпорна на екстерне изазове.</w:t>
      </w:r>
    </w:p>
    <w:p w14:paraId="191D7D92" w14:textId="77777777" w:rsidR="00B86662" w:rsidRPr="004831AB" w:rsidRDefault="00B86662" w:rsidP="00060371">
      <w:pPr>
        <w:pStyle w:val="Heading2"/>
        <w:spacing w:after="120"/>
        <w:ind w:firstLine="0"/>
        <w:rPr>
          <w:b w:val="0"/>
          <w:lang w:val="sr-Cyrl-CS"/>
        </w:rPr>
      </w:pPr>
      <w:r w:rsidRPr="004831AB">
        <w:rPr>
          <w:b w:val="0"/>
          <w:lang w:val="sr-Cyrl-CS"/>
        </w:rPr>
        <w:t>Жељена промена:</w:t>
      </w:r>
    </w:p>
    <w:p w14:paraId="1B66F773" w14:textId="4AE7478F" w:rsidR="00CD3457" w:rsidRPr="004831AB" w:rsidRDefault="00FD6436" w:rsidP="00CD3457">
      <w:pPr>
        <w:tabs>
          <w:tab w:val="left" w:pos="0"/>
          <w:tab w:val="left" w:pos="990"/>
        </w:tabs>
        <w:spacing w:after="120" w:line="240" w:lineRule="auto"/>
        <w:jc w:val="both"/>
        <w:rPr>
          <w:rFonts w:ascii="Times New Roman" w:hAnsi="Times New Roman" w:cs="Times New Roman"/>
          <w:iCs/>
          <w:sz w:val="24"/>
          <w:szCs w:val="24"/>
          <w:lang w:val="sr-Cyrl-CS"/>
        </w:rPr>
      </w:pPr>
      <w:r w:rsidRPr="004831AB">
        <w:rPr>
          <w:rFonts w:ascii="Times New Roman" w:hAnsi="Times New Roman" w:cs="Times New Roman"/>
          <w:iCs/>
          <w:sz w:val="24"/>
          <w:szCs w:val="24"/>
          <w:lang w:val="sr-Cyrl-CS"/>
        </w:rPr>
        <w:t xml:space="preserve">      </w:t>
      </w:r>
      <w:r w:rsidR="00060371" w:rsidRPr="004831AB">
        <w:rPr>
          <w:rFonts w:ascii="Times New Roman" w:hAnsi="Times New Roman" w:cs="Times New Roman"/>
          <w:iCs/>
          <w:sz w:val="24"/>
          <w:szCs w:val="24"/>
          <w:lang w:val="sr-Cyrl-CS"/>
        </w:rPr>
        <w:t xml:space="preserve">      </w:t>
      </w:r>
      <w:r w:rsidR="00CD3457" w:rsidRPr="004831AB">
        <w:rPr>
          <w:rFonts w:ascii="Times New Roman" w:hAnsi="Times New Roman" w:cs="Times New Roman"/>
          <w:iCs/>
          <w:sz w:val="24"/>
          <w:szCs w:val="24"/>
          <w:lang w:val="sr-Cyrl-CS"/>
        </w:rPr>
        <w:t>Одржив сектор МСПП, конкурентан на домаћем и глобалном тржишту, а заснован на ресурсној и финансијској ефикасности, иновацијама и дигитализацији.</w:t>
      </w:r>
    </w:p>
    <w:p w14:paraId="582FAD19" w14:textId="08BD554F" w:rsidR="00B25EF2" w:rsidRPr="004831AB" w:rsidRDefault="00B25EF2" w:rsidP="00060371">
      <w:pPr>
        <w:pStyle w:val="Heading2"/>
        <w:ind w:firstLine="0"/>
        <w:rPr>
          <w:b w:val="0"/>
          <w:lang w:val="sr-Cyrl-CS"/>
        </w:rPr>
      </w:pPr>
      <w:r w:rsidRPr="004831AB">
        <w:rPr>
          <w:b w:val="0"/>
          <w:lang w:val="sr-Cyrl-CS"/>
        </w:rPr>
        <w:lastRenderedPageBreak/>
        <w:t>Циљ</w:t>
      </w:r>
      <w:r w:rsidR="00BC105B" w:rsidRPr="004831AB">
        <w:rPr>
          <w:b w:val="0"/>
          <w:lang w:val="sr-Cyrl-CS"/>
        </w:rPr>
        <w:t xml:space="preserve">еви </w:t>
      </w:r>
      <w:r w:rsidR="00D766D4" w:rsidRPr="004831AB">
        <w:rPr>
          <w:b w:val="0"/>
          <w:lang w:val="sr-Cyrl-CS"/>
        </w:rPr>
        <w:t>С</w:t>
      </w:r>
      <w:r w:rsidR="009F0BBB" w:rsidRPr="004831AB">
        <w:rPr>
          <w:b w:val="0"/>
          <w:lang w:val="sr-Cyrl-CS"/>
        </w:rPr>
        <w:t>тратегије</w:t>
      </w:r>
      <w:r w:rsidR="00D766D4" w:rsidRPr="004831AB">
        <w:rPr>
          <w:b w:val="0"/>
          <w:lang w:val="sr-Cyrl-CS"/>
        </w:rPr>
        <w:t>:</w:t>
      </w:r>
    </w:p>
    <w:p w14:paraId="38108C5F" w14:textId="70D3879E" w:rsidR="00B86662" w:rsidRPr="004831AB" w:rsidRDefault="00060371" w:rsidP="00DF4ACC">
      <w:pPr>
        <w:tabs>
          <w:tab w:val="left" w:pos="990"/>
        </w:tabs>
        <w:spacing w:after="0" w:line="240" w:lineRule="auto"/>
        <w:jc w:val="both"/>
        <w:rPr>
          <w:rFonts w:ascii="Times New Roman" w:hAnsi="Times New Roman"/>
          <w:iCs/>
          <w:sz w:val="24"/>
          <w:szCs w:val="24"/>
          <w:lang w:val="sr-Cyrl-CS"/>
        </w:rPr>
      </w:pPr>
      <w:r w:rsidRPr="004831AB">
        <w:rPr>
          <w:rFonts w:ascii="Times New Roman" w:hAnsi="Times New Roman"/>
          <w:i/>
          <w:iCs/>
          <w:sz w:val="24"/>
          <w:szCs w:val="24"/>
          <w:lang w:val="sr-Cyrl-CS"/>
        </w:rPr>
        <w:t xml:space="preserve">            </w:t>
      </w:r>
      <w:r w:rsidR="00B86662" w:rsidRPr="004831AB">
        <w:rPr>
          <w:rFonts w:ascii="Times New Roman" w:hAnsi="Times New Roman"/>
          <w:iCs/>
          <w:sz w:val="24"/>
          <w:szCs w:val="24"/>
          <w:lang w:val="sr-Cyrl-CS"/>
        </w:rPr>
        <w:t xml:space="preserve">Општи циљ: </w:t>
      </w:r>
    </w:p>
    <w:p w14:paraId="6DE5EEC0" w14:textId="410DFE07" w:rsidR="00B86662" w:rsidRPr="004831AB" w:rsidRDefault="00060371" w:rsidP="0055499C">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            </w:t>
      </w:r>
      <w:r w:rsidR="00B86662" w:rsidRPr="004831AB">
        <w:rPr>
          <w:rFonts w:ascii="Times New Roman" w:hAnsi="Times New Roman"/>
          <w:sz w:val="24"/>
          <w:szCs w:val="24"/>
          <w:lang w:val="sr-Cyrl-CS"/>
        </w:rPr>
        <w:t xml:space="preserve">Сектор МСПП </w:t>
      </w:r>
      <w:r w:rsidR="00404C4B" w:rsidRPr="004831AB">
        <w:rPr>
          <w:rFonts w:ascii="Times New Roman" w:hAnsi="Times New Roman"/>
          <w:sz w:val="24"/>
          <w:szCs w:val="24"/>
          <w:lang w:val="sr-Cyrl-CS"/>
        </w:rPr>
        <w:t xml:space="preserve">је </w:t>
      </w:r>
      <w:r w:rsidR="00B86662" w:rsidRPr="004831AB">
        <w:rPr>
          <w:rFonts w:ascii="Times New Roman" w:hAnsi="Times New Roman"/>
          <w:sz w:val="24"/>
          <w:szCs w:val="24"/>
          <w:lang w:val="sr-Cyrl-CS"/>
        </w:rPr>
        <w:t xml:space="preserve">носилац убрзаног одрживог економског, друштвеног и инклузивног развоја РС. </w:t>
      </w:r>
    </w:p>
    <w:p w14:paraId="37746A03" w14:textId="77777777" w:rsidR="00595D71" w:rsidRPr="004831AB" w:rsidRDefault="00595D71" w:rsidP="0055499C">
      <w:pPr>
        <w:tabs>
          <w:tab w:val="left" w:pos="990"/>
        </w:tabs>
        <w:spacing w:after="120" w:line="240" w:lineRule="auto"/>
        <w:jc w:val="both"/>
        <w:rPr>
          <w:rFonts w:ascii="Times New Roman" w:hAnsi="Times New Roman"/>
          <w:sz w:val="24"/>
          <w:szCs w:val="24"/>
          <w:lang w:val="sr-Cyrl-CS"/>
        </w:rPr>
      </w:pPr>
    </w:p>
    <w:p w14:paraId="799D61A6" w14:textId="229E9DFE" w:rsidR="00595D71" w:rsidRPr="004831AB" w:rsidRDefault="00595D71" w:rsidP="0055499C">
      <w:pPr>
        <w:tabs>
          <w:tab w:val="left" w:pos="990"/>
        </w:tabs>
        <w:spacing w:after="120" w:line="240" w:lineRule="auto"/>
        <w:jc w:val="both"/>
        <w:rPr>
          <w:rFonts w:ascii="Times New Roman" w:hAnsi="Times New Roman"/>
          <w:sz w:val="24"/>
          <w:szCs w:val="24"/>
          <w:lang w:val="sr-Cyrl-CS"/>
        </w:rPr>
      </w:pPr>
    </w:p>
    <w:p w14:paraId="29053E94" w14:textId="049620B6" w:rsidR="00B86662" w:rsidRPr="004831AB" w:rsidRDefault="00595D71" w:rsidP="00237903">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B86662" w:rsidRPr="004831AB">
        <w:rPr>
          <w:rFonts w:ascii="Times New Roman" w:hAnsi="Times New Roman"/>
          <w:sz w:val="24"/>
          <w:szCs w:val="24"/>
          <w:lang w:val="sr-Cyrl-CS"/>
        </w:rPr>
        <w:t>Показатељи учинка</w:t>
      </w:r>
    </w:p>
    <w:tbl>
      <w:tblPr>
        <w:tblStyle w:val="TableGrid"/>
        <w:tblW w:w="8689" w:type="dxa"/>
        <w:tblLook w:val="04A0" w:firstRow="1" w:lastRow="0" w:firstColumn="1" w:lastColumn="0" w:noHBand="0" w:noVBand="1"/>
      </w:tblPr>
      <w:tblGrid>
        <w:gridCol w:w="2462"/>
        <w:gridCol w:w="1530"/>
        <w:gridCol w:w="1652"/>
        <w:gridCol w:w="1415"/>
        <w:gridCol w:w="1630"/>
      </w:tblGrid>
      <w:tr w:rsidR="007F49B3" w:rsidRPr="004831AB" w14:paraId="1F78D93E" w14:textId="77777777" w:rsidTr="00237903">
        <w:trPr>
          <w:trHeight w:val="377"/>
        </w:trPr>
        <w:tc>
          <w:tcPr>
            <w:tcW w:w="2462" w:type="dxa"/>
            <w:tcBorders>
              <w:top w:val="double" w:sz="4" w:space="0" w:color="auto"/>
            </w:tcBorders>
            <w:shd w:val="clear" w:color="auto" w:fill="D9D9D9" w:themeFill="background1" w:themeFillShade="D9"/>
          </w:tcPr>
          <w:p w14:paraId="493E6CF0" w14:textId="77777777" w:rsidR="007F49B3" w:rsidRPr="004831AB" w:rsidRDefault="007F49B3" w:rsidP="00B15D10">
            <w:pPr>
              <w:rPr>
                <w:rFonts w:ascii="Times New Roman" w:hAnsi="Times New Roman" w:cs="Times New Roman"/>
                <w:sz w:val="20"/>
                <w:szCs w:val="20"/>
                <w:lang w:val="sr-Cyrl-CS"/>
              </w:rPr>
            </w:pPr>
            <w:r w:rsidRPr="004831AB">
              <w:rPr>
                <w:rFonts w:ascii="Times New Roman" w:hAnsi="Times New Roman" w:cs="Times New Roman"/>
                <w:sz w:val="20"/>
                <w:szCs w:val="20"/>
                <w:lang w:val="sr-Cyrl-CS"/>
              </w:rPr>
              <w:t xml:space="preserve">Показатељ (и) на нивоу oпштег циља </w:t>
            </w:r>
          </w:p>
        </w:tc>
        <w:tc>
          <w:tcPr>
            <w:tcW w:w="1530" w:type="dxa"/>
            <w:tcBorders>
              <w:top w:val="double" w:sz="4" w:space="0" w:color="auto"/>
            </w:tcBorders>
            <w:shd w:val="clear" w:color="auto" w:fill="D9D9D9" w:themeFill="background1" w:themeFillShade="D9"/>
          </w:tcPr>
          <w:p w14:paraId="7AE5FD5D" w14:textId="77777777" w:rsidR="007F49B3" w:rsidRPr="004831AB" w:rsidRDefault="007F49B3" w:rsidP="00B15D10">
            <w:pPr>
              <w:rPr>
                <w:rFonts w:ascii="Times New Roman" w:hAnsi="Times New Roman" w:cs="Times New Roman"/>
                <w:sz w:val="20"/>
                <w:szCs w:val="20"/>
                <w:lang w:val="sr-Cyrl-CS"/>
              </w:rPr>
            </w:pPr>
            <w:r w:rsidRPr="004831AB">
              <w:rPr>
                <w:rFonts w:ascii="Times New Roman" w:hAnsi="Times New Roman" w:cs="Times New Roman"/>
                <w:sz w:val="20"/>
                <w:szCs w:val="20"/>
                <w:lang w:val="sr-Cyrl-CS"/>
              </w:rPr>
              <w:t>Jединица мере</w:t>
            </w:r>
          </w:p>
          <w:p w14:paraId="6435D23E" w14:textId="77777777" w:rsidR="007F49B3" w:rsidRPr="004831AB" w:rsidRDefault="007F49B3" w:rsidP="00B15D10">
            <w:pPr>
              <w:rPr>
                <w:rFonts w:ascii="Times New Roman" w:hAnsi="Times New Roman" w:cs="Times New Roman"/>
                <w:sz w:val="20"/>
                <w:szCs w:val="20"/>
                <w:lang w:val="sr-Cyrl-CS"/>
              </w:rPr>
            </w:pPr>
          </w:p>
        </w:tc>
        <w:tc>
          <w:tcPr>
            <w:tcW w:w="1652" w:type="dxa"/>
            <w:tcBorders>
              <w:top w:val="double" w:sz="4" w:space="0" w:color="auto"/>
            </w:tcBorders>
            <w:shd w:val="clear" w:color="auto" w:fill="D9D9D9" w:themeFill="background1" w:themeFillShade="D9"/>
          </w:tcPr>
          <w:p w14:paraId="7FCF7F4B" w14:textId="77777777" w:rsidR="007F49B3" w:rsidRPr="004831AB" w:rsidRDefault="007F49B3" w:rsidP="00B15D10">
            <w:pPr>
              <w:rPr>
                <w:rFonts w:ascii="Times New Roman" w:hAnsi="Times New Roman" w:cs="Times New Roman"/>
                <w:sz w:val="20"/>
                <w:szCs w:val="20"/>
                <w:lang w:val="sr-Cyrl-CS"/>
              </w:rPr>
            </w:pPr>
            <w:r w:rsidRPr="004831AB">
              <w:rPr>
                <w:rFonts w:ascii="Times New Roman" w:hAnsi="Times New Roman" w:cs="Times New Roman"/>
                <w:sz w:val="20"/>
                <w:szCs w:val="20"/>
                <w:lang w:val="sr-Cyrl-CS"/>
              </w:rPr>
              <w:t>Извор провере</w:t>
            </w:r>
          </w:p>
        </w:tc>
        <w:tc>
          <w:tcPr>
            <w:tcW w:w="1415" w:type="dxa"/>
            <w:tcBorders>
              <w:top w:val="double" w:sz="4" w:space="0" w:color="auto"/>
            </w:tcBorders>
            <w:shd w:val="clear" w:color="auto" w:fill="D9D9D9" w:themeFill="background1" w:themeFillShade="D9"/>
          </w:tcPr>
          <w:p w14:paraId="56535A3A" w14:textId="77777777" w:rsidR="007F49B3" w:rsidRPr="004831AB" w:rsidRDefault="007F49B3" w:rsidP="00B15D10">
            <w:pPr>
              <w:rPr>
                <w:rFonts w:ascii="Times New Roman" w:hAnsi="Times New Roman" w:cs="Times New Roman"/>
                <w:sz w:val="20"/>
                <w:szCs w:val="20"/>
                <w:lang w:val="sr-Cyrl-CS"/>
              </w:rPr>
            </w:pPr>
            <w:r w:rsidRPr="004831AB">
              <w:rPr>
                <w:rFonts w:ascii="Times New Roman" w:hAnsi="Times New Roman" w:cs="Times New Roman"/>
                <w:sz w:val="20"/>
                <w:szCs w:val="20"/>
                <w:lang w:val="sr-Cyrl-CS"/>
              </w:rPr>
              <w:t>Почетна вредност и базна година</w:t>
            </w:r>
          </w:p>
        </w:tc>
        <w:tc>
          <w:tcPr>
            <w:tcW w:w="1630" w:type="dxa"/>
            <w:tcBorders>
              <w:top w:val="double" w:sz="4" w:space="0" w:color="auto"/>
            </w:tcBorders>
            <w:shd w:val="clear" w:color="auto" w:fill="D9D9D9" w:themeFill="background1" w:themeFillShade="D9"/>
          </w:tcPr>
          <w:p w14:paraId="56B9582F" w14:textId="77777777" w:rsidR="007F49B3" w:rsidRPr="004831AB" w:rsidRDefault="007F49B3" w:rsidP="00B15D10">
            <w:pPr>
              <w:rPr>
                <w:rFonts w:ascii="Times New Roman" w:hAnsi="Times New Roman" w:cs="Times New Roman"/>
                <w:sz w:val="20"/>
                <w:szCs w:val="20"/>
                <w:lang w:val="sr-Cyrl-CS"/>
              </w:rPr>
            </w:pPr>
            <w:r w:rsidRPr="004831AB">
              <w:rPr>
                <w:rFonts w:ascii="Times New Roman" w:hAnsi="Times New Roman" w:cs="Times New Roman"/>
                <w:sz w:val="20"/>
                <w:szCs w:val="20"/>
                <w:lang w:val="sr-Cyrl-CS"/>
              </w:rPr>
              <w:t>Циљaна вредност (2027. година)</w:t>
            </w:r>
          </w:p>
        </w:tc>
      </w:tr>
      <w:tr w:rsidR="007F49B3" w:rsidRPr="004831AB" w14:paraId="20B7F388" w14:textId="77777777" w:rsidTr="00237903">
        <w:trPr>
          <w:trHeight w:val="176"/>
        </w:trPr>
        <w:tc>
          <w:tcPr>
            <w:tcW w:w="2462" w:type="dxa"/>
            <w:tcBorders>
              <w:top w:val="double" w:sz="4" w:space="0" w:color="auto"/>
              <w:bottom w:val="single" w:sz="4" w:space="0" w:color="auto"/>
            </w:tcBorders>
            <w:shd w:val="clear" w:color="auto" w:fill="FFFFFF" w:themeFill="background1"/>
          </w:tcPr>
          <w:p w14:paraId="7A32F503"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Број МСПП</w:t>
            </w:r>
          </w:p>
        </w:tc>
        <w:tc>
          <w:tcPr>
            <w:tcW w:w="1530" w:type="dxa"/>
            <w:tcBorders>
              <w:top w:val="double" w:sz="4" w:space="0" w:color="auto"/>
              <w:bottom w:val="single" w:sz="4" w:space="0" w:color="auto"/>
            </w:tcBorders>
            <w:shd w:val="clear" w:color="auto" w:fill="FFFFFF" w:themeFill="background1"/>
          </w:tcPr>
          <w:p w14:paraId="0FEE7DF6"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Број</w:t>
            </w:r>
          </w:p>
        </w:tc>
        <w:tc>
          <w:tcPr>
            <w:tcW w:w="1652" w:type="dxa"/>
            <w:tcBorders>
              <w:top w:val="double" w:sz="4" w:space="0" w:color="auto"/>
              <w:bottom w:val="single" w:sz="4" w:space="0" w:color="auto"/>
            </w:tcBorders>
            <w:shd w:val="clear" w:color="auto" w:fill="FFFFFF" w:themeFill="background1"/>
          </w:tcPr>
          <w:p w14:paraId="4B63023C"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Извештај о МСПП</w:t>
            </w:r>
          </w:p>
        </w:tc>
        <w:tc>
          <w:tcPr>
            <w:tcW w:w="1415" w:type="dxa"/>
            <w:tcBorders>
              <w:top w:val="double" w:sz="4" w:space="0" w:color="auto"/>
              <w:bottom w:val="single" w:sz="4" w:space="0" w:color="auto"/>
            </w:tcBorders>
            <w:shd w:val="clear" w:color="auto" w:fill="FFFFFF" w:themeFill="background1"/>
          </w:tcPr>
          <w:p w14:paraId="305996A8"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405.932,00 (2021)</w:t>
            </w:r>
          </w:p>
        </w:tc>
        <w:tc>
          <w:tcPr>
            <w:tcW w:w="1630" w:type="dxa"/>
            <w:tcBorders>
              <w:top w:val="double" w:sz="4" w:space="0" w:color="auto"/>
              <w:bottom w:val="single" w:sz="4" w:space="0" w:color="auto"/>
            </w:tcBorders>
            <w:shd w:val="clear" w:color="auto" w:fill="FFFFFF" w:themeFill="background1"/>
          </w:tcPr>
          <w:p w14:paraId="77F58338" w14:textId="051564D4" w:rsidR="007F49B3" w:rsidRPr="004831AB" w:rsidRDefault="00F221B7" w:rsidP="00790731">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412</w:t>
            </w:r>
            <w:r w:rsidR="00524FAE" w:rsidRPr="004831AB">
              <w:rPr>
                <w:rFonts w:ascii="Times New Roman" w:hAnsi="Times New Roman" w:cs="Times New Roman"/>
                <w:sz w:val="20"/>
                <w:szCs w:val="20"/>
                <w:lang w:val="sr-Cyrl-CS"/>
              </w:rPr>
              <w:t>.000</w:t>
            </w:r>
          </w:p>
        </w:tc>
      </w:tr>
      <w:tr w:rsidR="007F49B3" w:rsidRPr="004831AB" w14:paraId="283C0878" w14:textId="77777777" w:rsidTr="00237903">
        <w:trPr>
          <w:trHeight w:val="176"/>
        </w:trPr>
        <w:tc>
          <w:tcPr>
            <w:tcW w:w="2462" w:type="dxa"/>
            <w:tcBorders>
              <w:top w:val="single" w:sz="4" w:space="0" w:color="auto"/>
              <w:bottom w:val="single" w:sz="4" w:space="0" w:color="auto"/>
            </w:tcBorders>
            <w:shd w:val="clear" w:color="auto" w:fill="FFFFFF" w:themeFill="background1"/>
          </w:tcPr>
          <w:p w14:paraId="4C06695E"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Број запослених у сектору МСПП</w:t>
            </w:r>
          </w:p>
        </w:tc>
        <w:tc>
          <w:tcPr>
            <w:tcW w:w="1530" w:type="dxa"/>
            <w:tcBorders>
              <w:top w:val="single" w:sz="4" w:space="0" w:color="auto"/>
              <w:bottom w:val="single" w:sz="4" w:space="0" w:color="auto"/>
            </w:tcBorders>
            <w:shd w:val="clear" w:color="auto" w:fill="FFFFFF" w:themeFill="background1"/>
          </w:tcPr>
          <w:p w14:paraId="2D05277F"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Број</w:t>
            </w:r>
          </w:p>
        </w:tc>
        <w:tc>
          <w:tcPr>
            <w:tcW w:w="1652" w:type="dxa"/>
            <w:tcBorders>
              <w:top w:val="single" w:sz="4" w:space="0" w:color="auto"/>
              <w:bottom w:val="single" w:sz="4" w:space="0" w:color="auto"/>
            </w:tcBorders>
            <w:shd w:val="clear" w:color="auto" w:fill="FFFFFF" w:themeFill="background1"/>
          </w:tcPr>
          <w:p w14:paraId="39C8FFA4"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Извештај о МСПП</w:t>
            </w:r>
          </w:p>
        </w:tc>
        <w:tc>
          <w:tcPr>
            <w:tcW w:w="1415" w:type="dxa"/>
            <w:tcBorders>
              <w:top w:val="single" w:sz="4" w:space="0" w:color="auto"/>
              <w:bottom w:val="single" w:sz="4" w:space="0" w:color="auto"/>
            </w:tcBorders>
            <w:shd w:val="clear" w:color="auto" w:fill="FFFFFF" w:themeFill="background1"/>
          </w:tcPr>
          <w:p w14:paraId="6F03FB82"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972.187,00 (2021)</w:t>
            </w:r>
          </w:p>
        </w:tc>
        <w:tc>
          <w:tcPr>
            <w:tcW w:w="1630" w:type="dxa"/>
            <w:tcBorders>
              <w:top w:val="single" w:sz="4" w:space="0" w:color="auto"/>
              <w:bottom w:val="single" w:sz="4" w:space="0" w:color="auto"/>
            </w:tcBorders>
            <w:shd w:val="clear" w:color="auto" w:fill="FFFFFF" w:themeFill="background1"/>
          </w:tcPr>
          <w:p w14:paraId="06D4AEA1" w14:textId="189E7920" w:rsidR="007F49B3" w:rsidRPr="004831AB" w:rsidRDefault="00555A3C" w:rsidP="00790731">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1.000.000</w:t>
            </w:r>
          </w:p>
        </w:tc>
      </w:tr>
      <w:tr w:rsidR="007F49B3" w:rsidRPr="004831AB" w14:paraId="457CAE6D" w14:textId="77777777" w:rsidTr="00237903">
        <w:trPr>
          <w:trHeight w:val="176"/>
        </w:trPr>
        <w:tc>
          <w:tcPr>
            <w:tcW w:w="2462" w:type="dxa"/>
            <w:tcBorders>
              <w:top w:val="single" w:sz="4" w:space="0" w:color="auto"/>
              <w:bottom w:val="single" w:sz="4" w:space="0" w:color="auto"/>
            </w:tcBorders>
            <w:shd w:val="clear" w:color="auto" w:fill="FFFFFF" w:themeFill="background1"/>
          </w:tcPr>
          <w:p w14:paraId="221D9CFE"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Стопа раста БДВ</w:t>
            </w:r>
          </w:p>
        </w:tc>
        <w:tc>
          <w:tcPr>
            <w:tcW w:w="1530" w:type="dxa"/>
            <w:tcBorders>
              <w:top w:val="single" w:sz="4" w:space="0" w:color="auto"/>
              <w:bottom w:val="single" w:sz="4" w:space="0" w:color="auto"/>
            </w:tcBorders>
            <w:shd w:val="clear" w:color="auto" w:fill="FFFFFF" w:themeFill="background1"/>
          </w:tcPr>
          <w:p w14:paraId="651C74FE"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w:t>
            </w:r>
          </w:p>
        </w:tc>
        <w:tc>
          <w:tcPr>
            <w:tcW w:w="1652" w:type="dxa"/>
            <w:tcBorders>
              <w:top w:val="single" w:sz="4" w:space="0" w:color="auto"/>
              <w:bottom w:val="single" w:sz="4" w:space="0" w:color="auto"/>
            </w:tcBorders>
            <w:shd w:val="clear" w:color="auto" w:fill="FFFFFF" w:themeFill="background1"/>
          </w:tcPr>
          <w:p w14:paraId="0FC1215F"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Извештај о МСПП</w:t>
            </w:r>
          </w:p>
        </w:tc>
        <w:tc>
          <w:tcPr>
            <w:tcW w:w="1415" w:type="dxa"/>
            <w:tcBorders>
              <w:top w:val="single" w:sz="4" w:space="0" w:color="auto"/>
              <w:bottom w:val="single" w:sz="4" w:space="0" w:color="auto"/>
            </w:tcBorders>
            <w:shd w:val="clear" w:color="auto" w:fill="FFFFFF" w:themeFill="background1"/>
          </w:tcPr>
          <w:p w14:paraId="7F29FEF7" w14:textId="77777777" w:rsidR="007F49B3" w:rsidRPr="004831AB" w:rsidRDefault="007F49B3"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2.172.052,00 РСД</w:t>
            </w:r>
          </w:p>
        </w:tc>
        <w:tc>
          <w:tcPr>
            <w:tcW w:w="1630" w:type="dxa"/>
            <w:tcBorders>
              <w:top w:val="single" w:sz="4" w:space="0" w:color="auto"/>
              <w:bottom w:val="single" w:sz="4" w:space="0" w:color="auto"/>
            </w:tcBorders>
            <w:shd w:val="clear" w:color="auto" w:fill="FFFFFF" w:themeFill="background1"/>
          </w:tcPr>
          <w:p w14:paraId="0927588C" w14:textId="1D0B87E5" w:rsidR="007F49B3" w:rsidRPr="004831AB" w:rsidRDefault="00790731" w:rsidP="00B15D10">
            <w:pPr>
              <w:shd w:val="clear" w:color="auto" w:fill="FFFFFF" w:themeFill="background1"/>
              <w:rPr>
                <w:rFonts w:ascii="Times New Roman" w:hAnsi="Times New Roman" w:cs="Times New Roman"/>
                <w:sz w:val="20"/>
                <w:szCs w:val="20"/>
                <w:lang w:val="sr-Cyrl-CS"/>
              </w:rPr>
            </w:pPr>
            <w:r w:rsidRPr="004831AB">
              <w:rPr>
                <w:rFonts w:ascii="Times New Roman" w:hAnsi="Times New Roman" w:cs="Times New Roman"/>
                <w:sz w:val="20"/>
                <w:szCs w:val="20"/>
                <w:lang w:val="sr-Cyrl-CS"/>
              </w:rPr>
              <w:t>10,5</w:t>
            </w:r>
            <w:r w:rsidR="007F49B3" w:rsidRPr="004831AB">
              <w:rPr>
                <w:rFonts w:ascii="Times New Roman" w:hAnsi="Times New Roman" w:cs="Times New Roman"/>
                <w:sz w:val="20"/>
                <w:szCs w:val="20"/>
                <w:lang w:val="sr-Cyrl-CS"/>
              </w:rPr>
              <w:t>%</w:t>
            </w:r>
          </w:p>
        </w:tc>
      </w:tr>
    </w:tbl>
    <w:p w14:paraId="5B3C74F2" w14:textId="77777777" w:rsidR="00B32193" w:rsidRPr="004831AB" w:rsidRDefault="00B32193" w:rsidP="00B32193">
      <w:pPr>
        <w:tabs>
          <w:tab w:val="left" w:pos="990"/>
        </w:tabs>
        <w:spacing w:after="120" w:line="240" w:lineRule="auto"/>
        <w:jc w:val="both"/>
        <w:rPr>
          <w:rFonts w:ascii="Times New Roman" w:hAnsi="Times New Roman"/>
          <w:sz w:val="24"/>
          <w:szCs w:val="24"/>
          <w:lang w:val="sr-Cyrl-CS"/>
        </w:rPr>
      </w:pPr>
    </w:p>
    <w:p w14:paraId="395F5097" w14:textId="77777777" w:rsidR="008B46EE" w:rsidRPr="004831AB" w:rsidRDefault="008B46EE" w:rsidP="007413FE">
      <w:pPr>
        <w:pStyle w:val="Heading2"/>
        <w:ind w:firstLine="0"/>
        <w:rPr>
          <w:b w:val="0"/>
          <w:lang w:val="sr-Cyrl-CS"/>
        </w:rPr>
      </w:pPr>
      <w:r w:rsidRPr="004831AB">
        <w:rPr>
          <w:b w:val="0"/>
          <w:lang w:val="sr-Cyrl-CS"/>
        </w:rPr>
        <w:t>Посебни циљеви:</w:t>
      </w:r>
    </w:p>
    <w:p w14:paraId="18A3812E" w14:textId="77777777" w:rsidR="008B46EE" w:rsidRPr="004831AB" w:rsidRDefault="008B46EE" w:rsidP="007B4E73">
      <w:pPr>
        <w:pStyle w:val="ListParagraph"/>
        <w:numPr>
          <w:ilvl w:val="0"/>
          <w:numId w:val="13"/>
        </w:numPr>
        <w:tabs>
          <w:tab w:val="left" w:pos="990"/>
        </w:tabs>
        <w:spacing w:after="120" w:line="240" w:lineRule="auto"/>
        <w:jc w:val="center"/>
        <w:rPr>
          <w:rFonts w:ascii="Times New Roman" w:hAnsi="Times New Roman"/>
          <w:sz w:val="24"/>
          <w:szCs w:val="24"/>
          <w:lang w:val="sr-Cyrl-CS"/>
        </w:rPr>
      </w:pPr>
      <w:r w:rsidRPr="004831AB">
        <w:rPr>
          <w:rFonts w:ascii="Times New Roman" w:hAnsi="Times New Roman"/>
          <w:sz w:val="24"/>
          <w:szCs w:val="24"/>
          <w:lang w:val="sr-Cyrl-CS"/>
        </w:rPr>
        <w:t>Предузетнички екосистем - Унапређен</w:t>
      </w:r>
      <w:r w:rsidR="00B63419" w:rsidRPr="004831AB">
        <w:rPr>
          <w:rFonts w:ascii="Times New Roman" w:hAnsi="Times New Roman"/>
          <w:sz w:val="24"/>
          <w:szCs w:val="24"/>
          <w:lang w:val="sr-Cyrl-CS"/>
        </w:rPr>
        <w:t>о</w:t>
      </w:r>
      <w:r w:rsidRPr="004831AB">
        <w:rPr>
          <w:rFonts w:ascii="Times New Roman" w:hAnsi="Times New Roman"/>
          <w:sz w:val="24"/>
          <w:szCs w:val="24"/>
          <w:lang w:val="sr-Cyrl-CS"/>
        </w:rPr>
        <w:t xml:space="preserve"> </w:t>
      </w:r>
      <w:r w:rsidR="00B63419" w:rsidRPr="004831AB">
        <w:rPr>
          <w:rFonts w:ascii="Times New Roman" w:hAnsi="Times New Roman"/>
          <w:sz w:val="24"/>
          <w:szCs w:val="24"/>
          <w:lang w:val="sr-Cyrl-CS"/>
        </w:rPr>
        <w:t xml:space="preserve">оперативно окружење и смањене препреке </w:t>
      </w:r>
      <w:r w:rsidR="00BF7498" w:rsidRPr="004831AB">
        <w:rPr>
          <w:rFonts w:ascii="Times New Roman" w:hAnsi="Times New Roman"/>
          <w:sz w:val="24"/>
          <w:szCs w:val="24"/>
          <w:lang w:val="sr-Cyrl-CS"/>
        </w:rPr>
        <w:t xml:space="preserve">за </w:t>
      </w:r>
      <w:r w:rsidR="00B63419" w:rsidRPr="004831AB">
        <w:rPr>
          <w:rFonts w:ascii="Times New Roman" w:hAnsi="Times New Roman"/>
          <w:sz w:val="24"/>
          <w:szCs w:val="24"/>
          <w:lang w:val="sr-Cyrl-CS"/>
        </w:rPr>
        <w:t>пословањ</w:t>
      </w:r>
      <w:r w:rsidR="00BF7498" w:rsidRPr="004831AB">
        <w:rPr>
          <w:rFonts w:ascii="Times New Roman" w:hAnsi="Times New Roman"/>
          <w:sz w:val="24"/>
          <w:szCs w:val="24"/>
          <w:lang w:val="sr-Cyrl-CS"/>
        </w:rPr>
        <w:t>е</w:t>
      </w:r>
      <w:r w:rsidR="00B63419" w:rsidRPr="004831AB">
        <w:rPr>
          <w:rFonts w:ascii="Times New Roman" w:hAnsi="Times New Roman"/>
          <w:sz w:val="24"/>
          <w:szCs w:val="24"/>
          <w:lang w:val="sr-Cyrl-CS"/>
        </w:rPr>
        <w:t xml:space="preserve"> МСПП</w:t>
      </w:r>
    </w:p>
    <w:p w14:paraId="539F90C2" w14:textId="77777777" w:rsidR="007A3104" w:rsidRPr="004831AB" w:rsidRDefault="007A3104" w:rsidP="003A5B2D">
      <w:pPr>
        <w:tabs>
          <w:tab w:val="left" w:pos="990"/>
        </w:tabs>
        <w:spacing w:after="120" w:line="240" w:lineRule="auto"/>
        <w:ind w:left="360"/>
        <w:jc w:val="both"/>
        <w:rPr>
          <w:rFonts w:ascii="Times New Roman" w:hAnsi="Times New Roman"/>
          <w:sz w:val="24"/>
          <w:szCs w:val="24"/>
          <w:lang w:val="sr-Cyrl-CS"/>
        </w:rPr>
      </w:pPr>
      <w:r w:rsidRPr="004831AB">
        <w:rPr>
          <w:rFonts w:ascii="Times New Roman" w:hAnsi="Times New Roman"/>
          <w:sz w:val="24"/>
          <w:szCs w:val="24"/>
          <w:lang w:val="sr-Cyrl-CS"/>
        </w:rPr>
        <w:t xml:space="preserve">Показатељи исхода: </w:t>
      </w:r>
    </w:p>
    <w:tbl>
      <w:tblPr>
        <w:tblStyle w:val="TableGrid"/>
        <w:tblW w:w="9199" w:type="dxa"/>
        <w:tblInd w:w="10" w:type="dxa"/>
        <w:tblLayout w:type="fixed"/>
        <w:tblLook w:val="04A0" w:firstRow="1" w:lastRow="0" w:firstColumn="1" w:lastColumn="0" w:noHBand="0" w:noVBand="1"/>
      </w:tblPr>
      <w:tblGrid>
        <w:gridCol w:w="2537"/>
        <w:gridCol w:w="1276"/>
        <w:gridCol w:w="1842"/>
        <w:gridCol w:w="1134"/>
        <w:gridCol w:w="1134"/>
        <w:gridCol w:w="1276"/>
      </w:tblGrid>
      <w:tr w:rsidR="008002E6" w:rsidRPr="004831AB" w14:paraId="236E4D37" w14:textId="77777777" w:rsidTr="003A5B2D">
        <w:trPr>
          <w:trHeight w:val="575"/>
        </w:trPr>
        <w:tc>
          <w:tcPr>
            <w:tcW w:w="2537" w:type="dxa"/>
            <w:tcBorders>
              <w:top w:val="double" w:sz="4" w:space="0" w:color="auto"/>
            </w:tcBorders>
            <w:shd w:val="clear" w:color="auto" w:fill="D9D9D9" w:themeFill="background1" w:themeFillShade="D9"/>
          </w:tcPr>
          <w:p w14:paraId="2B815485"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Показатељ(и) на нивоу посебног циља </w:t>
            </w:r>
            <w:r w:rsidRPr="004831AB">
              <w:rPr>
                <w:rFonts w:ascii="Times New Roman" w:hAnsi="Times New Roman" w:cs="Times New Roman"/>
                <w:i/>
                <w:lang w:val="sr-Cyrl-CS" w:eastAsia="en-GB"/>
              </w:rPr>
              <w:t>(показатељ исхода)</w:t>
            </w:r>
          </w:p>
        </w:tc>
        <w:tc>
          <w:tcPr>
            <w:tcW w:w="1276" w:type="dxa"/>
            <w:tcBorders>
              <w:top w:val="double" w:sz="4" w:space="0" w:color="auto"/>
            </w:tcBorders>
            <w:shd w:val="clear" w:color="auto" w:fill="D9D9D9" w:themeFill="background1" w:themeFillShade="D9"/>
          </w:tcPr>
          <w:p w14:paraId="1B943754"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Jединица мере</w:t>
            </w:r>
          </w:p>
          <w:p w14:paraId="201B5028" w14:textId="77777777" w:rsidR="008002E6" w:rsidRPr="004831AB" w:rsidRDefault="008002E6" w:rsidP="00311D83">
            <w:pPr>
              <w:rPr>
                <w:rFonts w:ascii="Times New Roman" w:hAnsi="Times New Roman" w:cs="Times New Roman"/>
                <w:lang w:val="sr-Cyrl-CS" w:eastAsia="en-GB"/>
              </w:rPr>
            </w:pPr>
          </w:p>
        </w:tc>
        <w:tc>
          <w:tcPr>
            <w:tcW w:w="1842" w:type="dxa"/>
            <w:tcBorders>
              <w:top w:val="double" w:sz="4" w:space="0" w:color="auto"/>
            </w:tcBorders>
            <w:shd w:val="clear" w:color="auto" w:fill="D9D9D9" w:themeFill="background1" w:themeFillShade="D9"/>
          </w:tcPr>
          <w:p w14:paraId="52DEE2AD"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Извор провере</w:t>
            </w:r>
          </w:p>
        </w:tc>
        <w:tc>
          <w:tcPr>
            <w:tcW w:w="1134" w:type="dxa"/>
            <w:tcBorders>
              <w:top w:val="double" w:sz="4" w:space="0" w:color="auto"/>
            </w:tcBorders>
            <w:shd w:val="clear" w:color="auto" w:fill="D9D9D9" w:themeFill="background1" w:themeFillShade="D9"/>
          </w:tcPr>
          <w:p w14:paraId="4BAAE003"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Почетна вредност </w:t>
            </w:r>
          </w:p>
        </w:tc>
        <w:tc>
          <w:tcPr>
            <w:tcW w:w="1134" w:type="dxa"/>
            <w:tcBorders>
              <w:top w:val="double" w:sz="4" w:space="0" w:color="auto"/>
            </w:tcBorders>
            <w:shd w:val="clear" w:color="auto" w:fill="D9D9D9" w:themeFill="background1" w:themeFillShade="D9"/>
          </w:tcPr>
          <w:p w14:paraId="7560B2C5"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Базна година</w:t>
            </w:r>
          </w:p>
        </w:tc>
        <w:tc>
          <w:tcPr>
            <w:tcW w:w="1276" w:type="dxa"/>
            <w:tcBorders>
              <w:top w:val="double" w:sz="4" w:space="0" w:color="auto"/>
            </w:tcBorders>
            <w:shd w:val="clear" w:color="auto" w:fill="D9D9D9" w:themeFill="background1" w:themeFillShade="D9"/>
          </w:tcPr>
          <w:p w14:paraId="19B72E0C" w14:textId="77777777" w:rsidR="008002E6" w:rsidRPr="004831AB" w:rsidRDefault="008002E6" w:rsidP="00311D83">
            <w:pPr>
              <w:rPr>
                <w:rFonts w:ascii="Times New Roman" w:hAnsi="Times New Roman" w:cs="Times New Roman"/>
                <w:lang w:val="sr-Cyrl-CS" w:eastAsia="en-GB"/>
              </w:rPr>
            </w:pPr>
            <w:r w:rsidRPr="004831AB">
              <w:rPr>
                <w:rFonts w:ascii="Times New Roman" w:hAnsi="Times New Roman" w:cs="Times New Roman"/>
                <w:lang w:val="sr-Cyrl-CS" w:eastAsia="en-GB"/>
              </w:rPr>
              <w:t xml:space="preserve">Циљана вредност </w:t>
            </w:r>
            <w:r w:rsidR="004A5CB6" w:rsidRPr="004831AB">
              <w:rPr>
                <w:rFonts w:ascii="Times New Roman" w:hAnsi="Times New Roman" w:cs="Times New Roman"/>
                <w:lang w:val="sr-Cyrl-CS" w:eastAsia="en-GB"/>
              </w:rPr>
              <w:t>(2027. година)</w:t>
            </w:r>
          </w:p>
        </w:tc>
      </w:tr>
      <w:tr w:rsidR="008002E6" w:rsidRPr="004831AB" w14:paraId="70B261F7" w14:textId="77777777" w:rsidTr="003A5B2D">
        <w:trPr>
          <w:trHeight w:val="254"/>
        </w:trPr>
        <w:tc>
          <w:tcPr>
            <w:tcW w:w="2537" w:type="dxa"/>
            <w:tcBorders>
              <w:top w:val="double" w:sz="4" w:space="0" w:color="auto"/>
              <w:bottom w:val="double" w:sz="4" w:space="0" w:color="auto"/>
            </w:tcBorders>
            <w:shd w:val="clear" w:color="auto" w:fill="FFFFFF" w:themeFill="background1"/>
          </w:tcPr>
          <w:p w14:paraId="5994FC10" w14:textId="77777777" w:rsidR="008002E6" w:rsidRPr="004831AB" w:rsidRDefault="008002E6" w:rsidP="00311D83">
            <w:pPr>
              <w:tabs>
                <w:tab w:val="left" w:pos="990"/>
              </w:tabs>
              <w:jc w:val="both"/>
              <w:rPr>
                <w:rFonts w:ascii="Times New Roman" w:hAnsi="Times New Roman" w:cs="Times New Roman"/>
                <w:lang w:val="sr-Cyrl-CS" w:eastAsia="en-GB"/>
              </w:rPr>
            </w:pPr>
            <w:r w:rsidRPr="004831AB">
              <w:rPr>
                <w:rFonts w:ascii="Times New Roman" w:hAnsi="Times New Roman" w:cs="Times New Roman"/>
                <w:lang w:val="sr-Cyrl-CS" w:eastAsia="en-GB"/>
              </w:rPr>
              <w:t>Оперативно окружење за МСПП</w:t>
            </w:r>
          </w:p>
        </w:tc>
        <w:tc>
          <w:tcPr>
            <w:tcW w:w="1276" w:type="dxa"/>
            <w:tcBorders>
              <w:top w:val="double" w:sz="4" w:space="0" w:color="auto"/>
              <w:bottom w:val="double" w:sz="4" w:space="0" w:color="auto"/>
            </w:tcBorders>
            <w:shd w:val="clear" w:color="auto" w:fill="FFFFFF" w:themeFill="background1"/>
          </w:tcPr>
          <w:p w14:paraId="4396DDC9" w14:textId="77777777" w:rsidR="008002E6" w:rsidRPr="004831AB" w:rsidRDefault="008002E6" w:rsidP="00311D83">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Ранг</w:t>
            </w:r>
          </w:p>
        </w:tc>
        <w:tc>
          <w:tcPr>
            <w:tcW w:w="1842" w:type="dxa"/>
            <w:tcBorders>
              <w:top w:val="double" w:sz="4" w:space="0" w:color="auto"/>
              <w:bottom w:val="double" w:sz="4" w:space="0" w:color="auto"/>
            </w:tcBorders>
            <w:shd w:val="clear" w:color="auto" w:fill="FFFFFF" w:themeFill="background1"/>
          </w:tcPr>
          <w:p w14:paraId="0DC7380C" w14:textId="77777777" w:rsidR="008002E6" w:rsidRPr="004831AB" w:rsidRDefault="008002E6" w:rsidP="00311D83">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Индекс политике МСПП, димензија 4</w:t>
            </w:r>
          </w:p>
        </w:tc>
        <w:tc>
          <w:tcPr>
            <w:tcW w:w="1134" w:type="dxa"/>
            <w:tcBorders>
              <w:top w:val="double" w:sz="4" w:space="0" w:color="auto"/>
              <w:bottom w:val="double" w:sz="4" w:space="0" w:color="auto"/>
            </w:tcBorders>
            <w:shd w:val="clear" w:color="auto" w:fill="FFFFFF" w:themeFill="background1"/>
          </w:tcPr>
          <w:p w14:paraId="2EBDD789" w14:textId="77777777" w:rsidR="008002E6" w:rsidRPr="004831AB" w:rsidRDefault="008002E6" w:rsidP="00311D83">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3,98</w:t>
            </w:r>
          </w:p>
        </w:tc>
        <w:tc>
          <w:tcPr>
            <w:tcW w:w="1134" w:type="dxa"/>
            <w:tcBorders>
              <w:top w:val="double" w:sz="4" w:space="0" w:color="auto"/>
              <w:bottom w:val="double" w:sz="4" w:space="0" w:color="auto"/>
            </w:tcBorders>
            <w:shd w:val="clear" w:color="auto" w:fill="FFFFFF" w:themeFill="background1"/>
          </w:tcPr>
          <w:p w14:paraId="44027EEE" w14:textId="77777777" w:rsidR="008002E6" w:rsidRPr="004831AB" w:rsidRDefault="008002E6" w:rsidP="00311D83">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2022</w:t>
            </w:r>
          </w:p>
        </w:tc>
        <w:tc>
          <w:tcPr>
            <w:tcW w:w="1276" w:type="dxa"/>
            <w:tcBorders>
              <w:top w:val="double" w:sz="4" w:space="0" w:color="auto"/>
              <w:bottom w:val="double" w:sz="4" w:space="0" w:color="auto"/>
            </w:tcBorders>
            <w:shd w:val="clear" w:color="auto" w:fill="FFFFFF" w:themeFill="background1"/>
          </w:tcPr>
          <w:p w14:paraId="2ECC5A56" w14:textId="77777777" w:rsidR="008002E6" w:rsidRPr="004831AB" w:rsidRDefault="004A5CB6" w:rsidP="00311D83">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4,</w:t>
            </w:r>
            <w:r w:rsidR="001021C8" w:rsidRPr="004831AB">
              <w:rPr>
                <w:rFonts w:ascii="Times New Roman" w:hAnsi="Times New Roman" w:cs="Times New Roman"/>
                <w:lang w:val="sr-Cyrl-CS" w:eastAsia="en-GB"/>
              </w:rPr>
              <w:t>2</w:t>
            </w:r>
          </w:p>
        </w:tc>
      </w:tr>
    </w:tbl>
    <w:p w14:paraId="066540F0" w14:textId="77777777" w:rsidR="008B46EE" w:rsidRPr="004831AB" w:rsidRDefault="008B46EE" w:rsidP="00DF4ACC">
      <w:pPr>
        <w:tabs>
          <w:tab w:val="left" w:pos="990"/>
        </w:tabs>
        <w:spacing w:after="0" w:line="240" w:lineRule="auto"/>
        <w:jc w:val="both"/>
        <w:rPr>
          <w:rFonts w:ascii="Times New Roman" w:hAnsi="Times New Roman"/>
          <w:sz w:val="24"/>
          <w:szCs w:val="24"/>
          <w:lang w:val="sr-Cyrl-CS"/>
        </w:rPr>
      </w:pPr>
    </w:p>
    <w:p w14:paraId="7578E291" w14:textId="61A9B7D8" w:rsidR="00B55629" w:rsidRPr="004831AB" w:rsidRDefault="00F95A91" w:rsidP="003A3FB6">
      <w:pPr>
        <w:pStyle w:val="ListParagraph"/>
        <w:numPr>
          <w:ilvl w:val="0"/>
          <w:numId w:val="13"/>
        </w:num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Иновативан, зелени и на диг</w:t>
      </w:r>
      <w:r w:rsidR="00961D04" w:rsidRPr="004831AB">
        <w:rPr>
          <w:rFonts w:ascii="Times New Roman" w:hAnsi="Times New Roman"/>
          <w:sz w:val="24"/>
          <w:szCs w:val="24"/>
          <w:lang w:val="sr-Cyrl-CS"/>
        </w:rPr>
        <w:t>итализацији заснован развој</w:t>
      </w:r>
      <w:r w:rsidRPr="004831AB">
        <w:rPr>
          <w:rFonts w:ascii="Times New Roman" w:hAnsi="Times New Roman"/>
          <w:sz w:val="24"/>
          <w:szCs w:val="24"/>
          <w:lang w:val="sr-Cyrl-CS"/>
        </w:rPr>
        <w:t xml:space="preserve"> </w:t>
      </w:r>
      <w:r w:rsidR="00404C4B" w:rsidRPr="004831AB">
        <w:rPr>
          <w:rFonts w:ascii="Times New Roman" w:hAnsi="Times New Roman"/>
          <w:sz w:val="24"/>
          <w:szCs w:val="24"/>
          <w:lang w:val="sr-Cyrl-CS"/>
        </w:rPr>
        <w:t>–</w:t>
      </w:r>
      <w:r w:rsidRPr="004831AB">
        <w:rPr>
          <w:rFonts w:ascii="Times New Roman" w:hAnsi="Times New Roman"/>
          <w:sz w:val="24"/>
          <w:szCs w:val="24"/>
          <w:lang w:val="sr-Cyrl-CS"/>
        </w:rPr>
        <w:t xml:space="preserve"> </w:t>
      </w:r>
      <w:r w:rsidR="00CD3457" w:rsidRPr="004831AB">
        <w:rPr>
          <w:rFonts w:ascii="Times New Roman" w:hAnsi="Times New Roman"/>
          <w:sz w:val="24"/>
          <w:szCs w:val="24"/>
          <w:lang w:val="sr-Cyrl-CS"/>
        </w:rPr>
        <w:t>оснажен</w:t>
      </w:r>
      <w:r w:rsidR="00404C4B" w:rsidRPr="004831AB">
        <w:rPr>
          <w:rFonts w:ascii="Times New Roman" w:hAnsi="Times New Roman"/>
          <w:sz w:val="24"/>
          <w:szCs w:val="24"/>
          <w:lang w:val="sr-Cyrl-CS"/>
        </w:rPr>
        <w:t xml:space="preserve"> </w:t>
      </w:r>
      <w:r w:rsidRPr="004831AB">
        <w:rPr>
          <w:rFonts w:ascii="Times New Roman" w:hAnsi="Times New Roman"/>
          <w:sz w:val="24"/>
          <w:szCs w:val="24"/>
          <w:lang w:val="sr-Cyrl-CS"/>
        </w:rPr>
        <w:t xml:space="preserve">сектор МСПП </w:t>
      </w:r>
      <w:r w:rsidR="00CD3457" w:rsidRPr="004831AB">
        <w:rPr>
          <w:rFonts w:ascii="Times New Roman" w:hAnsi="Times New Roman"/>
          <w:sz w:val="24"/>
          <w:szCs w:val="24"/>
          <w:lang w:val="sr-Cyrl-CS"/>
        </w:rPr>
        <w:t>за дигиталну трансф</w:t>
      </w:r>
      <w:r w:rsidR="00BD25DC" w:rsidRPr="004831AB">
        <w:rPr>
          <w:rFonts w:ascii="Times New Roman" w:hAnsi="Times New Roman"/>
          <w:sz w:val="24"/>
          <w:szCs w:val="24"/>
          <w:lang w:val="sr-Cyrl-CS"/>
        </w:rPr>
        <w:t>о</w:t>
      </w:r>
      <w:r w:rsidR="00CD3457" w:rsidRPr="004831AB">
        <w:rPr>
          <w:rFonts w:ascii="Times New Roman" w:hAnsi="Times New Roman"/>
          <w:sz w:val="24"/>
          <w:szCs w:val="24"/>
          <w:lang w:val="sr-Cyrl-CS"/>
        </w:rPr>
        <w:t>рмацију и примену иновативних и зелених решења</w:t>
      </w:r>
    </w:p>
    <w:p w14:paraId="5968416A" w14:textId="77777777" w:rsidR="004C72A3" w:rsidRPr="004831AB" w:rsidRDefault="004C72A3" w:rsidP="005D4A00">
      <w:pPr>
        <w:tabs>
          <w:tab w:val="left" w:pos="990"/>
        </w:tabs>
        <w:spacing w:before="120"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Показатељи исхода: </w:t>
      </w:r>
    </w:p>
    <w:tbl>
      <w:tblPr>
        <w:tblStyle w:val="TableGrid"/>
        <w:tblW w:w="9199" w:type="dxa"/>
        <w:tblInd w:w="10" w:type="dxa"/>
        <w:tblLayout w:type="fixed"/>
        <w:tblLook w:val="04A0" w:firstRow="1" w:lastRow="0" w:firstColumn="1" w:lastColumn="0" w:noHBand="0" w:noVBand="1"/>
      </w:tblPr>
      <w:tblGrid>
        <w:gridCol w:w="2537"/>
        <w:gridCol w:w="1276"/>
        <w:gridCol w:w="1842"/>
        <w:gridCol w:w="1134"/>
        <w:gridCol w:w="1134"/>
        <w:gridCol w:w="1276"/>
      </w:tblGrid>
      <w:tr w:rsidR="008002E6" w:rsidRPr="004831AB" w14:paraId="25354F7D" w14:textId="77777777" w:rsidTr="000858CA">
        <w:trPr>
          <w:trHeight w:val="575"/>
        </w:trPr>
        <w:tc>
          <w:tcPr>
            <w:tcW w:w="2537" w:type="dxa"/>
            <w:tcBorders>
              <w:top w:val="double" w:sz="4" w:space="0" w:color="auto"/>
            </w:tcBorders>
            <w:shd w:val="clear" w:color="auto" w:fill="D9D9D9" w:themeFill="background1" w:themeFillShade="D9"/>
          </w:tcPr>
          <w:p w14:paraId="0FA272E7"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Показатељ(и) на нивоу посебног циља </w:t>
            </w:r>
            <w:r w:rsidRPr="004831AB">
              <w:rPr>
                <w:rFonts w:ascii="Times New Roman" w:hAnsi="Times New Roman" w:cs="Times New Roman"/>
                <w:i/>
                <w:lang w:val="sr-Cyrl-CS" w:eastAsia="en-GB"/>
              </w:rPr>
              <w:t>(показатељ исхода)</w:t>
            </w:r>
          </w:p>
        </w:tc>
        <w:tc>
          <w:tcPr>
            <w:tcW w:w="1276" w:type="dxa"/>
            <w:tcBorders>
              <w:top w:val="double" w:sz="4" w:space="0" w:color="auto"/>
            </w:tcBorders>
            <w:shd w:val="clear" w:color="auto" w:fill="D9D9D9" w:themeFill="background1" w:themeFillShade="D9"/>
          </w:tcPr>
          <w:p w14:paraId="661EB0E7"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Jединица мере</w:t>
            </w:r>
          </w:p>
          <w:p w14:paraId="42757578" w14:textId="77777777" w:rsidR="008002E6" w:rsidRPr="004831AB" w:rsidRDefault="008002E6" w:rsidP="00B15D10">
            <w:pPr>
              <w:rPr>
                <w:rFonts w:ascii="Times New Roman" w:hAnsi="Times New Roman" w:cs="Times New Roman"/>
                <w:lang w:val="sr-Cyrl-CS" w:eastAsia="en-GB"/>
              </w:rPr>
            </w:pPr>
          </w:p>
        </w:tc>
        <w:tc>
          <w:tcPr>
            <w:tcW w:w="1842" w:type="dxa"/>
            <w:tcBorders>
              <w:top w:val="double" w:sz="4" w:space="0" w:color="auto"/>
            </w:tcBorders>
            <w:shd w:val="clear" w:color="auto" w:fill="D9D9D9" w:themeFill="background1" w:themeFillShade="D9"/>
          </w:tcPr>
          <w:p w14:paraId="2F28577C"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Извор провере</w:t>
            </w:r>
          </w:p>
        </w:tc>
        <w:tc>
          <w:tcPr>
            <w:tcW w:w="1134" w:type="dxa"/>
            <w:tcBorders>
              <w:top w:val="double" w:sz="4" w:space="0" w:color="auto"/>
            </w:tcBorders>
            <w:shd w:val="clear" w:color="auto" w:fill="D9D9D9" w:themeFill="background1" w:themeFillShade="D9"/>
          </w:tcPr>
          <w:p w14:paraId="39B0F030"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Почетна вредност </w:t>
            </w:r>
          </w:p>
        </w:tc>
        <w:tc>
          <w:tcPr>
            <w:tcW w:w="1134" w:type="dxa"/>
            <w:tcBorders>
              <w:top w:val="double" w:sz="4" w:space="0" w:color="auto"/>
            </w:tcBorders>
            <w:shd w:val="clear" w:color="auto" w:fill="D9D9D9" w:themeFill="background1" w:themeFillShade="D9"/>
          </w:tcPr>
          <w:p w14:paraId="53FB277F"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Базна година</w:t>
            </w:r>
          </w:p>
        </w:tc>
        <w:tc>
          <w:tcPr>
            <w:tcW w:w="1276" w:type="dxa"/>
            <w:tcBorders>
              <w:top w:val="double" w:sz="4" w:space="0" w:color="auto"/>
            </w:tcBorders>
            <w:shd w:val="clear" w:color="auto" w:fill="D9D9D9" w:themeFill="background1" w:themeFillShade="D9"/>
          </w:tcPr>
          <w:p w14:paraId="6527069B"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Циљана вредност </w:t>
            </w:r>
            <w:r w:rsidR="003C09B6" w:rsidRPr="004831AB">
              <w:rPr>
                <w:rFonts w:ascii="Times New Roman" w:hAnsi="Times New Roman" w:cs="Times New Roman"/>
                <w:lang w:val="sr-Cyrl-CS" w:eastAsia="en-GB"/>
              </w:rPr>
              <w:t>(2027. година)</w:t>
            </w:r>
          </w:p>
        </w:tc>
      </w:tr>
      <w:tr w:rsidR="008002E6" w:rsidRPr="004831AB" w14:paraId="4E273656" w14:textId="77777777" w:rsidTr="000858CA">
        <w:trPr>
          <w:trHeight w:val="254"/>
        </w:trPr>
        <w:tc>
          <w:tcPr>
            <w:tcW w:w="2537" w:type="dxa"/>
            <w:tcBorders>
              <w:top w:val="double" w:sz="4" w:space="0" w:color="auto"/>
              <w:bottom w:val="double" w:sz="4" w:space="0" w:color="auto"/>
            </w:tcBorders>
            <w:shd w:val="clear" w:color="auto" w:fill="FFFFFF" w:themeFill="background1"/>
          </w:tcPr>
          <w:p w14:paraId="09372676" w14:textId="77777777" w:rsidR="008002E6" w:rsidRPr="004831AB" w:rsidRDefault="008002E6" w:rsidP="008002E6">
            <w:pPr>
              <w:shd w:val="clear" w:color="auto" w:fill="FFFFFF" w:themeFill="background1"/>
              <w:rPr>
                <w:rFonts w:ascii="Times New Roman" w:hAnsi="Times New Roman" w:cs="Times New Roman"/>
                <w:lang w:val="sr-Cyrl-CS"/>
              </w:rPr>
            </w:pPr>
            <w:r w:rsidRPr="004831AB">
              <w:rPr>
                <w:rFonts w:ascii="Times New Roman" w:hAnsi="Times New Roman" w:cs="Times New Roman"/>
                <w:lang w:val="sr-Cyrl-CS"/>
              </w:rPr>
              <w:t>МСПП која су предузела ресурсно-ефикасне мере (%)</w:t>
            </w:r>
          </w:p>
          <w:p w14:paraId="23CB2B40" w14:textId="77777777" w:rsidR="008002E6" w:rsidRPr="004831AB" w:rsidRDefault="008002E6" w:rsidP="008002E6">
            <w:pPr>
              <w:tabs>
                <w:tab w:val="left" w:pos="990"/>
              </w:tabs>
              <w:jc w:val="both"/>
              <w:rPr>
                <w:rFonts w:ascii="Times New Roman" w:hAnsi="Times New Roman" w:cs="Times New Roman"/>
                <w:lang w:val="sr-Cyrl-CS" w:eastAsia="en-GB"/>
              </w:rPr>
            </w:pPr>
          </w:p>
        </w:tc>
        <w:tc>
          <w:tcPr>
            <w:tcW w:w="1276" w:type="dxa"/>
            <w:tcBorders>
              <w:top w:val="double" w:sz="4" w:space="0" w:color="auto"/>
              <w:bottom w:val="double" w:sz="4" w:space="0" w:color="auto"/>
            </w:tcBorders>
            <w:shd w:val="clear" w:color="auto" w:fill="FFFFFF" w:themeFill="background1"/>
          </w:tcPr>
          <w:p w14:paraId="4446FA6F"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 xml:space="preserve">Проценат </w:t>
            </w:r>
          </w:p>
        </w:tc>
        <w:tc>
          <w:tcPr>
            <w:tcW w:w="1842" w:type="dxa"/>
            <w:tcBorders>
              <w:top w:val="double" w:sz="4" w:space="0" w:color="auto"/>
              <w:bottom w:val="double" w:sz="4" w:space="0" w:color="auto"/>
            </w:tcBorders>
            <w:shd w:val="clear" w:color="auto" w:fill="FFFFFF" w:themeFill="background1"/>
          </w:tcPr>
          <w:p w14:paraId="72025966"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Еуробарометар</w:t>
            </w:r>
          </w:p>
        </w:tc>
        <w:tc>
          <w:tcPr>
            <w:tcW w:w="1134" w:type="dxa"/>
            <w:tcBorders>
              <w:top w:val="double" w:sz="4" w:space="0" w:color="auto"/>
              <w:bottom w:val="double" w:sz="4" w:space="0" w:color="auto"/>
            </w:tcBorders>
            <w:shd w:val="clear" w:color="auto" w:fill="FFFFFF" w:themeFill="background1"/>
          </w:tcPr>
          <w:p w14:paraId="5F2C9F87" w14:textId="77777777" w:rsidR="008002E6" w:rsidRPr="004831AB" w:rsidRDefault="003C09B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27,8%</w:t>
            </w:r>
          </w:p>
        </w:tc>
        <w:tc>
          <w:tcPr>
            <w:tcW w:w="1134" w:type="dxa"/>
            <w:tcBorders>
              <w:top w:val="double" w:sz="4" w:space="0" w:color="auto"/>
              <w:bottom w:val="double" w:sz="4" w:space="0" w:color="auto"/>
            </w:tcBorders>
            <w:shd w:val="clear" w:color="auto" w:fill="FFFFFF" w:themeFill="background1"/>
          </w:tcPr>
          <w:p w14:paraId="4DF0F973"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2022</w:t>
            </w:r>
          </w:p>
        </w:tc>
        <w:tc>
          <w:tcPr>
            <w:tcW w:w="1276" w:type="dxa"/>
            <w:tcBorders>
              <w:top w:val="double" w:sz="4" w:space="0" w:color="auto"/>
              <w:bottom w:val="double" w:sz="4" w:space="0" w:color="auto"/>
            </w:tcBorders>
            <w:shd w:val="clear" w:color="auto" w:fill="FFFFFF" w:themeFill="background1"/>
          </w:tcPr>
          <w:p w14:paraId="309E90D6" w14:textId="77777777" w:rsidR="008002E6" w:rsidRPr="004831AB" w:rsidRDefault="003C09B6" w:rsidP="008002E6">
            <w:pPr>
              <w:shd w:val="clear" w:color="auto" w:fill="FFFFFF" w:themeFill="background1"/>
              <w:rPr>
                <w:rFonts w:ascii="Times New Roman" w:hAnsi="Times New Roman" w:cs="Times New Roman"/>
                <w:lang w:val="sr-Cyrl-CS" w:eastAsia="en-GB"/>
              </w:rPr>
            </w:pPr>
            <w:r w:rsidRPr="004831AB">
              <w:rPr>
                <w:rFonts w:ascii="Times New Roman" w:eastAsia="Calibri" w:hAnsi="Times New Roman" w:cs="Times New Roman"/>
                <w:lang w:val="sr-Cyrl-CS"/>
              </w:rPr>
              <w:t>3</w:t>
            </w:r>
            <w:r w:rsidR="004A5CB6" w:rsidRPr="004831AB">
              <w:rPr>
                <w:rFonts w:ascii="Times New Roman" w:eastAsia="Calibri" w:hAnsi="Times New Roman" w:cs="Times New Roman"/>
                <w:lang w:val="sr-Cyrl-CS"/>
              </w:rPr>
              <w:t>2</w:t>
            </w:r>
            <w:r w:rsidRPr="004831AB">
              <w:rPr>
                <w:rFonts w:ascii="Times New Roman" w:eastAsia="Calibri" w:hAnsi="Times New Roman" w:cs="Times New Roman"/>
                <w:lang w:val="sr-Cyrl-CS"/>
              </w:rPr>
              <w:t>%</w:t>
            </w:r>
          </w:p>
        </w:tc>
      </w:tr>
      <w:tr w:rsidR="000858CA" w:rsidRPr="004831AB" w14:paraId="7FC1C302" w14:textId="77777777" w:rsidTr="000858CA">
        <w:trPr>
          <w:trHeight w:val="254"/>
        </w:trPr>
        <w:tc>
          <w:tcPr>
            <w:tcW w:w="2537" w:type="dxa"/>
          </w:tcPr>
          <w:p w14:paraId="515C5DDA" w14:textId="46FEC870" w:rsidR="000858CA" w:rsidRPr="004831AB" w:rsidRDefault="000858CA" w:rsidP="001F3BDC">
            <w:pPr>
              <w:tabs>
                <w:tab w:val="left" w:pos="990"/>
              </w:tabs>
              <w:jc w:val="both"/>
              <w:rPr>
                <w:rFonts w:ascii="Times New Roman" w:hAnsi="Times New Roman" w:cs="Times New Roman"/>
                <w:lang w:val="sr-Cyrl-CS" w:eastAsia="en-GB"/>
              </w:rPr>
            </w:pPr>
            <w:r w:rsidRPr="004831AB">
              <w:rPr>
                <w:rFonts w:ascii="Times New Roman" w:hAnsi="Times New Roman" w:cs="Times New Roman"/>
                <w:lang w:val="sr-Cyrl-CS"/>
              </w:rPr>
              <w:t xml:space="preserve">МСПП који користе софтвер </w:t>
            </w:r>
            <w:r w:rsidR="00A44ECA" w:rsidRPr="004831AB">
              <w:rPr>
                <w:rFonts w:ascii="Times New Roman" w:hAnsi="Times New Roman" w:cs="Times New Roman"/>
                <w:lang w:val="sr-Cyrl-CS"/>
              </w:rPr>
              <w:t xml:space="preserve">за </w:t>
            </w:r>
            <w:r w:rsidR="00A44ECA" w:rsidRPr="004831AB">
              <w:rPr>
                <w:rFonts w:ascii="Times New Roman" w:hAnsi="Times New Roman" w:cs="Times New Roman"/>
                <w:lang w:val="sr-Cyrl-CS"/>
              </w:rPr>
              <w:lastRenderedPageBreak/>
              <w:t>планирање ресурса у компанији</w:t>
            </w:r>
          </w:p>
        </w:tc>
        <w:tc>
          <w:tcPr>
            <w:tcW w:w="1276" w:type="dxa"/>
          </w:tcPr>
          <w:p w14:paraId="5F896184"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lastRenderedPageBreak/>
              <w:t xml:space="preserve">Проценат </w:t>
            </w:r>
          </w:p>
        </w:tc>
        <w:tc>
          <w:tcPr>
            <w:tcW w:w="1842" w:type="dxa"/>
          </w:tcPr>
          <w:p w14:paraId="346EDF51"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Еуростат</w:t>
            </w:r>
          </w:p>
        </w:tc>
        <w:tc>
          <w:tcPr>
            <w:tcW w:w="1134" w:type="dxa"/>
          </w:tcPr>
          <w:p w14:paraId="1C7A0284"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22%</w:t>
            </w:r>
          </w:p>
        </w:tc>
        <w:tc>
          <w:tcPr>
            <w:tcW w:w="1134" w:type="dxa"/>
          </w:tcPr>
          <w:p w14:paraId="0FBF3E80"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2021</w:t>
            </w:r>
          </w:p>
        </w:tc>
        <w:tc>
          <w:tcPr>
            <w:tcW w:w="1276" w:type="dxa"/>
          </w:tcPr>
          <w:p w14:paraId="36CD5EFC"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30%</w:t>
            </w:r>
          </w:p>
        </w:tc>
      </w:tr>
    </w:tbl>
    <w:p w14:paraId="47631F48" w14:textId="77777777" w:rsidR="0055499C" w:rsidRPr="004831AB" w:rsidRDefault="0055499C" w:rsidP="0055499C">
      <w:pPr>
        <w:pStyle w:val="ListParagraph"/>
        <w:tabs>
          <w:tab w:val="left" w:pos="990"/>
        </w:tabs>
        <w:spacing w:after="0" w:line="240" w:lineRule="auto"/>
        <w:jc w:val="both"/>
        <w:rPr>
          <w:rFonts w:ascii="Times New Roman" w:hAnsi="Times New Roman"/>
          <w:sz w:val="24"/>
          <w:szCs w:val="24"/>
          <w:lang w:val="sr-Cyrl-CS"/>
        </w:rPr>
      </w:pPr>
    </w:p>
    <w:p w14:paraId="7FFB69C5" w14:textId="77777777" w:rsidR="001B0CB3" w:rsidRPr="004831AB" w:rsidRDefault="001B0CB3" w:rsidP="0055499C">
      <w:pPr>
        <w:pStyle w:val="ListParagraph"/>
        <w:tabs>
          <w:tab w:val="left" w:pos="990"/>
        </w:tabs>
        <w:spacing w:after="0" w:line="240" w:lineRule="auto"/>
        <w:jc w:val="both"/>
        <w:rPr>
          <w:rFonts w:ascii="Times New Roman" w:hAnsi="Times New Roman"/>
          <w:sz w:val="24"/>
          <w:szCs w:val="24"/>
          <w:lang w:val="sr-Cyrl-CS"/>
        </w:rPr>
      </w:pPr>
    </w:p>
    <w:p w14:paraId="3902FC37" w14:textId="77777777" w:rsidR="001B0CB3" w:rsidRPr="004831AB" w:rsidRDefault="001B0CB3" w:rsidP="0055499C">
      <w:pPr>
        <w:pStyle w:val="ListParagraph"/>
        <w:tabs>
          <w:tab w:val="left" w:pos="990"/>
        </w:tabs>
        <w:spacing w:after="0" w:line="240" w:lineRule="auto"/>
        <w:jc w:val="both"/>
        <w:rPr>
          <w:rFonts w:ascii="Times New Roman" w:hAnsi="Times New Roman"/>
          <w:sz w:val="24"/>
          <w:szCs w:val="24"/>
          <w:lang w:val="sr-Cyrl-CS"/>
        </w:rPr>
      </w:pPr>
    </w:p>
    <w:p w14:paraId="0B8A24A9" w14:textId="77777777" w:rsidR="001B0CB3" w:rsidRPr="004831AB" w:rsidRDefault="001B0CB3" w:rsidP="0055499C">
      <w:pPr>
        <w:pStyle w:val="ListParagraph"/>
        <w:tabs>
          <w:tab w:val="left" w:pos="990"/>
        </w:tabs>
        <w:spacing w:after="0" w:line="240" w:lineRule="auto"/>
        <w:jc w:val="both"/>
        <w:rPr>
          <w:rFonts w:ascii="Times New Roman" w:hAnsi="Times New Roman"/>
          <w:sz w:val="24"/>
          <w:szCs w:val="24"/>
          <w:lang w:val="sr-Cyrl-CS"/>
        </w:rPr>
      </w:pPr>
    </w:p>
    <w:p w14:paraId="02D606BE" w14:textId="77777777" w:rsidR="001B0CB3" w:rsidRPr="004831AB" w:rsidRDefault="001B0CB3" w:rsidP="0055499C">
      <w:pPr>
        <w:pStyle w:val="ListParagraph"/>
        <w:tabs>
          <w:tab w:val="left" w:pos="990"/>
        </w:tabs>
        <w:spacing w:after="0" w:line="240" w:lineRule="auto"/>
        <w:jc w:val="both"/>
        <w:rPr>
          <w:rFonts w:ascii="Times New Roman" w:hAnsi="Times New Roman"/>
          <w:sz w:val="24"/>
          <w:szCs w:val="24"/>
          <w:lang w:val="sr-Cyrl-CS"/>
        </w:rPr>
      </w:pPr>
    </w:p>
    <w:p w14:paraId="4BE7B43E" w14:textId="77777777" w:rsidR="001B0CB3" w:rsidRPr="004831AB" w:rsidRDefault="001B0CB3" w:rsidP="0055499C">
      <w:pPr>
        <w:pStyle w:val="ListParagraph"/>
        <w:tabs>
          <w:tab w:val="left" w:pos="990"/>
        </w:tabs>
        <w:spacing w:after="0" w:line="240" w:lineRule="auto"/>
        <w:jc w:val="both"/>
        <w:rPr>
          <w:rFonts w:ascii="Times New Roman" w:hAnsi="Times New Roman"/>
          <w:sz w:val="24"/>
          <w:szCs w:val="24"/>
          <w:lang w:val="sr-Cyrl-CS"/>
        </w:rPr>
      </w:pPr>
    </w:p>
    <w:p w14:paraId="40B3FB3A" w14:textId="77777777" w:rsidR="00B63419" w:rsidRPr="004831AB" w:rsidRDefault="008B46EE" w:rsidP="00B63419">
      <w:pPr>
        <w:pStyle w:val="ListParagraph"/>
        <w:numPr>
          <w:ilvl w:val="0"/>
          <w:numId w:val="13"/>
        </w:num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Конкурентан МСПП сектор – Ојачана конкурентност МСПП на домаћем и страном тржишту </w:t>
      </w:r>
    </w:p>
    <w:p w14:paraId="53B9B364" w14:textId="77777777" w:rsidR="004C72A3" w:rsidRPr="004831AB" w:rsidRDefault="004C72A3" w:rsidP="005D4A00">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Показатељи исхода: </w:t>
      </w:r>
    </w:p>
    <w:tbl>
      <w:tblPr>
        <w:tblStyle w:val="TableGrid"/>
        <w:tblW w:w="9199" w:type="dxa"/>
        <w:tblInd w:w="10" w:type="dxa"/>
        <w:tblLayout w:type="fixed"/>
        <w:tblLook w:val="04A0" w:firstRow="1" w:lastRow="0" w:firstColumn="1" w:lastColumn="0" w:noHBand="0" w:noVBand="1"/>
      </w:tblPr>
      <w:tblGrid>
        <w:gridCol w:w="2537"/>
        <w:gridCol w:w="1276"/>
        <w:gridCol w:w="1842"/>
        <w:gridCol w:w="1134"/>
        <w:gridCol w:w="1134"/>
        <w:gridCol w:w="1276"/>
      </w:tblGrid>
      <w:tr w:rsidR="008002E6" w:rsidRPr="004831AB" w14:paraId="62C506EA" w14:textId="77777777" w:rsidTr="000858CA">
        <w:trPr>
          <w:trHeight w:val="575"/>
        </w:trPr>
        <w:tc>
          <w:tcPr>
            <w:tcW w:w="2537" w:type="dxa"/>
            <w:tcBorders>
              <w:top w:val="double" w:sz="4" w:space="0" w:color="auto"/>
            </w:tcBorders>
            <w:shd w:val="clear" w:color="auto" w:fill="D9D9D9" w:themeFill="background1" w:themeFillShade="D9"/>
          </w:tcPr>
          <w:p w14:paraId="1623DC92"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Показатељ(и) на нивоу посебног циља </w:t>
            </w:r>
            <w:r w:rsidRPr="004831AB">
              <w:rPr>
                <w:rFonts w:ascii="Times New Roman" w:hAnsi="Times New Roman" w:cs="Times New Roman"/>
                <w:i/>
                <w:lang w:val="sr-Cyrl-CS" w:eastAsia="en-GB"/>
              </w:rPr>
              <w:t>(показатељ исхода)</w:t>
            </w:r>
          </w:p>
        </w:tc>
        <w:tc>
          <w:tcPr>
            <w:tcW w:w="1276" w:type="dxa"/>
            <w:tcBorders>
              <w:top w:val="double" w:sz="4" w:space="0" w:color="auto"/>
            </w:tcBorders>
            <w:shd w:val="clear" w:color="auto" w:fill="D9D9D9" w:themeFill="background1" w:themeFillShade="D9"/>
          </w:tcPr>
          <w:p w14:paraId="78D18D53"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Jединица мере</w:t>
            </w:r>
          </w:p>
          <w:p w14:paraId="1A27A383" w14:textId="77777777" w:rsidR="008002E6" w:rsidRPr="004831AB" w:rsidRDefault="008002E6" w:rsidP="00B15D10">
            <w:pPr>
              <w:rPr>
                <w:rFonts w:ascii="Times New Roman" w:hAnsi="Times New Roman" w:cs="Times New Roman"/>
                <w:lang w:val="sr-Cyrl-CS" w:eastAsia="en-GB"/>
              </w:rPr>
            </w:pPr>
          </w:p>
        </w:tc>
        <w:tc>
          <w:tcPr>
            <w:tcW w:w="1842" w:type="dxa"/>
            <w:tcBorders>
              <w:top w:val="double" w:sz="4" w:space="0" w:color="auto"/>
            </w:tcBorders>
            <w:shd w:val="clear" w:color="auto" w:fill="D9D9D9" w:themeFill="background1" w:themeFillShade="D9"/>
          </w:tcPr>
          <w:p w14:paraId="7DB8A3E4"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Извор провере</w:t>
            </w:r>
          </w:p>
        </w:tc>
        <w:tc>
          <w:tcPr>
            <w:tcW w:w="1134" w:type="dxa"/>
            <w:tcBorders>
              <w:top w:val="double" w:sz="4" w:space="0" w:color="auto"/>
            </w:tcBorders>
            <w:shd w:val="clear" w:color="auto" w:fill="D9D9D9" w:themeFill="background1" w:themeFillShade="D9"/>
          </w:tcPr>
          <w:p w14:paraId="2F7450B9"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Почетна вредност </w:t>
            </w:r>
          </w:p>
        </w:tc>
        <w:tc>
          <w:tcPr>
            <w:tcW w:w="1134" w:type="dxa"/>
            <w:tcBorders>
              <w:top w:val="double" w:sz="4" w:space="0" w:color="auto"/>
            </w:tcBorders>
            <w:shd w:val="clear" w:color="auto" w:fill="D9D9D9" w:themeFill="background1" w:themeFillShade="D9"/>
          </w:tcPr>
          <w:p w14:paraId="1C499C74"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Базна година</w:t>
            </w:r>
          </w:p>
        </w:tc>
        <w:tc>
          <w:tcPr>
            <w:tcW w:w="1276" w:type="dxa"/>
            <w:tcBorders>
              <w:top w:val="double" w:sz="4" w:space="0" w:color="auto"/>
            </w:tcBorders>
            <w:shd w:val="clear" w:color="auto" w:fill="D9D9D9" w:themeFill="background1" w:themeFillShade="D9"/>
          </w:tcPr>
          <w:p w14:paraId="4F03E069"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Циљана вредност</w:t>
            </w:r>
            <w:r w:rsidR="008716C0" w:rsidRPr="004831AB">
              <w:rPr>
                <w:rFonts w:ascii="Times New Roman" w:hAnsi="Times New Roman" w:cs="Times New Roman"/>
                <w:lang w:val="sr-Cyrl-CS" w:eastAsia="en-GB"/>
              </w:rPr>
              <w:t xml:space="preserve"> (2027. година)</w:t>
            </w:r>
            <w:r w:rsidRPr="004831AB">
              <w:rPr>
                <w:rFonts w:ascii="Times New Roman" w:hAnsi="Times New Roman" w:cs="Times New Roman"/>
                <w:lang w:val="sr-Cyrl-CS" w:eastAsia="en-GB"/>
              </w:rPr>
              <w:t xml:space="preserve"> </w:t>
            </w:r>
          </w:p>
        </w:tc>
      </w:tr>
      <w:tr w:rsidR="000858CA" w:rsidRPr="004831AB" w14:paraId="59D7C7B3" w14:textId="77777777" w:rsidTr="000858CA">
        <w:trPr>
          <w:trHeight w:val="254"/>
        </w:trPr>
        <w:tc>
          <w:tcPr>
            <w:tcW w:w="2537" w:type="dxa"/>
          </w:tcPr>
          <w:p w14:paraId="3BA738FE" w14:textId="77777777" w:rsidR="000858CA" w:rsidRPr="004831AB" w:rsidRDefault="000858CA" w:rsidP="001F3BDC">
            <w:pPr>
              <w:tabs>
                <w:tab w:val="left" w:pos="990"/>
              </w:tabs>
              <w:jc w:val="both"/>
              <w:rPr>
                <w:rFonts w:ascii="Times New Roman" w:hAnsi="Times New Roman" w:cs="Times New Roman"/>
                <w:lang w:val="sr-Cyrl-CS" w:eastAsia="en-GB"/>
              </w:rPr>
            </w:pPr>
            <w:r w:rsidRPr="004831AB">
              <w:rPr>
                <w:rFonts w:ascii="Times New Roman" w:hAnsi="Times New Roman" w:cs="Times New Roman"/>
                <w:lang w:val="sr-Cyrl-CS"/>
              </w:rPr>
              <w:t>Bредност извоза сектора МСПП</w:t>
            </w:r>
          </w:p>
        </w:tc>
        <w:tc>
          <w:tcPr>
            <w:tcW w:w="1276" w:type="dxa"/>
          </w:tcPr>
          <w:p w14:paraId="19423707"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мил. динара</w:t>
            </w:r>
          </w:p>
        </w:tc>
        <w:tc>
          <w:tcPr>
            <w:tcW w:w="1842" w:type="dxa"/>
          </w:tcPr>
          <w:p w14:paraId="1C45B75A"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Извештај о МСПП</w:t>
            </w:r>
          </w:p>
        </w:tc>
        <w:tc>
          <w:tcPr>
            <w:tcW w:w="1134" w:type="dxa"/>
          </w:tcPr>
          <w:p w14:paraId="3997A6D3"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910.741</w:t>
            </w:r>
          </w:p>
        </w:tc>
        <w:tc>
          <w:tcPr>
            <w:tcW w:w="1134" w:type="dxa"/>
          </w:tcPr>
          <w:p w14:paraId="09E7D029" w14:textId="77777777" w:rsidR="000858CA" w:rsidRPr="004831AB" w:rsidRDefault="000858CA" w:rsidP="001F3BDC">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2021</w:t>
            </w:r>
          </w:p>
        </w:tc>
        <w:tc>
          <w:tcPr>
            <w:tcW w:w="1276" w:type="dxa"/>
          </w:tcPr>
          <w:p w14:paraId="1D2970C4" w14:textId="1DE9CC7A" w:rsidR="000858CA" w:rsidRPr="004831AB" w:rsidRDefault="000858CA" w:rsidP="00790731">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1.</w:t>
            </w:r>
            <w:r w:rsidR="00790731" w:rsidRPr="004831AB">
              <w:rPr>
                <w:rFonts w:ascii="Times New Roman" w:hAnsi="Times New Roman" w:cs="Times New Roman"/>
                <w:lang w:val="sr-Cyrl-CS"/>
              </w:rPr>
              <w:t>273.</w:t>
            </w:r>
            <w:r w:rsidRPr="004831AB">
              <w:rPr>
                <w:rFonts w:ascii="Times New Roman" w:hAnsi="Times New Roman" w:cs="Times New Roman"/>
                <w:lang w:val="sr-Cyrl-CS"/>
              </w:rPr>
              <w:t>500</w:t>
            </w:r>
          </w:p>
        </w:tc>
      </w:tr>
      <w:tr w:rsidR="008002E6" w:rsidRPr="004831AB" w14:paraId="27D12511" w14:textId="77777777" w:rsidTr="000858CA">
        <w:trPr>
          <w:trHeight w:val="254"/>
        </w:trPr>
        <w:tc>
          <w:tcPr>
            <w:tcW w:w="2537" w:type="dxa"/>
            <w:tcBorders>
              <w:top w:val="double" w:sz="4" w:space="0" w:color="auto"/>
            </w:tcBorders>
            <w:shd w:val="clear" w:color="auto" w:fill="FFFFFF" w:themeFill="background1"/>
          </w:tcPr>
          <w:p w14:paraId="4614F638" w14:textId="77777777" w:rsidR="008002E6" w:rsidRPr="004831AB" w:rsidRDefault="008002E6" w:rsidP="008002E6">
            <w:pPr>
              <w:tabs>
                <w:tab w:val="left" w:pos="990"/>
              </w:tabs>
              <w:jc w:val="both"/>
              <w:rPr>
                <w:rFonts w:ascii="Times New Roman" w:hAnsi="Times New Roman" w:cs="Times New Roman"/>
                <w:lang w:val="sr-Cyrl-CS" w:eastAsia="en-GB"/>
              </w:rPr>
            </w:pPr>
            <w:r w:rsidRPr="004831AB">
              <w:rPr>
                <w:rFonts w:ascii="Times New Roman" w:hAnsi="Times New Roman" w:cs="Times New Roman"/>
                <w:lang w:val="sr-Cyrl-CS"/>
              </w:rPr>
              <w:t xml:space="preserve">Продуктивност сектора МСПП </w:t>
            </w:r>
          </w:p>
        </w:tc>
        <w:tc>
          <w:tcPr>
            <w:tcW w:w="1276" w:type="dxa"/>
            <w:tcBorders>
              <w:top w:val="double" w:sz="4" w:space="0" w:color="auto"/>
            </w:tcBorders>
            <w:shd w:val="clear" w:color="auto" w:fill="FFFFFF" w:themeFill="background1"/>
          </w:tcPr>
          <w:p w14:paraId="2D36942B" w14:textId="3F9BDFE3" w:rsidR="008002E6" w:rsidRPr="004831AB" w:rsidRDefault="00790731"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м</w:t>
            </w:r>
            <w:r w:rsidR="004E4D1A" w:rsidRPr="004831AB">
              <w:rPr>
                <w:rFonts w:ascii="Times New Roman" w:hAnsi="Times New Roman" w:cs="Times New Roman"/>
                <w:lang w:val="sr-Cyrl-CS"/>
              </w:rPr>
              <w:t>ил</w:t>
            </w:r>
            <w:r w:rsidRPr="004831AB">
              <w:rPr>
                <w:rFonts w:ascii="Times New Roman" w:hAnsi="Times New Roman" w:cs="Times New Roman"/>
                <w:lang w:val="sr-Cyrl-CS"/>
              </w:rPr>
              <w:t>.</w:t>
            </w:r>
            <w:r w:rsidR="004E4D1A" w:rsidRPr="004831AB">
              <w:rPr>
                <w:rFonts w:ascii="Times New Roman" w:hAnsi="Times New Roman" w:cs="Times New Roman"/>
                <w:lang w:val="sr-Cyrl-CS"/>
              </w:rPr>
              <w:t xml:space="preserve"> динара</w:t>
            </w:r>
            <w:r w:rsidRPr="004831AB">
              <w:rPr>
                <w:rFonts w:ascii="Times New Roman" w:hAnsi="Times New Roman" w:cs="Times New Roman"/>
                <w:lang w:val="sr-Cyrl-CS"/>
              </w:rPr>
              <w:t>/запослени</w:t>
            </w:r>
          </w:p>
        </w:tc>
        <w:tc>
          <w:tcPr>
            <w:tcW w:w="1842" w:type="dxa"/>
            <w:tcBorders>
              <w:top w:val="double" w:sz="4" w:space="0" w:color="auto"/>
            </w:tcBorders>
            <w:shd w:val="clear" w:color="auto" w:fill="FFFFFF" w:themeFill="background1"/>
          </w:tcPr>
          <w:p w14:paraId="21DEF696"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Извештај о МСПП</w:t>
            </w:r>
          </w:p>
        </w:tc>
        <w:tc>
          <w:tcPr>
            <w:tcW w:w="1134" w:type="dxa"/>
            <w:tcBorders>
              <w:top w:val="double" w:sz="4" w:space="0" w:color="auto"/>
            </w:tcBorders>
            <w:shd w:val="clear" w:color="auto" w:fill="FFFFFF" w:themeFill="background1"/>
          </w:tcPr>
          <w:p w14:paraId="01A69E7B" w14:textId="77777777" w:rsidR="008002E6" w:rsidRPr="004831AB" w:rsidRDefault="004E4D1A"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1,8</w:t>
            </w:r>
          </w:p>
        </w:tc>
        <w:tc>
          <w:tcPr>
            <w:tcW w:w="1134" w:type="dxa"/>
            <w:tcBorders>
              <w:top w:val="double" w:sz="4" w:space="0" w:color="auto"/>
            </w:tcBorders>
            <w:shd w:val="clear" w:color="auto" w:fill="FFFFFF" w:themeFill="background1"/>
          </w:tcPr>
          <w:p w14:paraId="701A7AD2"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2020</w:t>
            </w:r>
          </w:p>
        </w:tc>
        <w:tc>
          <w:tcPr>
            <w:tcW w:w="1276" w:type="dxa"/>
            <w:tcBorders>
              <w:top w:val="double" w:sz="4" w:space="0" w:color="auto"/>
            </w:tcBorders>
            <w:shd w:val="clear" w:color="auto" w:fill="FFFFFF" w:themeFill="background1"/>
          </w:tcPr>
          <w:p w14:paraId="42E6B596" w14:textId="719AF64A" w:rsidR="008002E6" w:rsidRPr="004831AB" w:rsidRDefault="00790731" w:rsidP="00790731">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3</w:t>
            </w:r>
            <w:r w:rsidR="001021C8" w:rsidRPr="004831AB">
              <w:rPr>
                <w:rFonts w:ascii="Times New Roman" w:hAnsi="Times New Roman" w:cs="Times New Roman"/>
                <w:lang w:val="sr-Cyrl-CS"/>
              </w:rPr>
              <w:t>,</w:t>
            </w:r>
            <w:r w:rsidRPr="004831AB">
              <w:rPr>
                <w:rFonts w:ascii="Times New Roman" w:hAnsi="Times New Roman" w:cs="Times New Roman"/>
                <w:lang w:val="sr-Cyrl-CS"/>
              </w:rPr>
              <w:t>1</w:t>
            </w:r>
          </w:p>
        </w:tc>
      </w:tr>
    </w:tbl>
    <w:p w14:paraId="1D87D465" w14:textId="77777777" w:rsidR="0055499C" w:rsidRPr="004831AB" w:rsidRDefault="0055499C" w:rsidP="0055499C">
      <w:pPr>
        <w:pStyle w:val="ListParagraph"/>
        <w:tabs>
          <w:tab w:val="left" w:pos="990"/>
        </w:tabs>
        <w:spacing w:after="0" w:line="240" w:lineRule="auto"/>
        <w:jc w:val="both"/>
        <w:rPr>
          <w:rFonts w:ascii="Times New Roman" w:hAnsi="Times New Roman"/>
          <w:sz w:val="24"/>
          <w:szCs w:val="24"/>
          <w:lang w:val="sr-Cyrl-CS"/>
        </w:rPr>
      </w:pPr>
    </w:p>
    <w:p w14:paraId="7EEBEAA6" w14:textId="77777777" w:rsidR="008B46EE" w:rsidRPr="004831AB" w:rsidRDefault="008B46EE" w:rsidP="0055499C">
      <w:pPr>
        <w:pStyle w:val="ListParagraph"/>
        <w:numPr>
          <w:ilvl w:val="0"/>
          <w:numId w:val="13"/>
        </w:num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Инклузиван сектор </w:t>
      </w:r>
      <w:r w:rsidR="00B63419" w:rsidRPr="004831AB">
        <w:rPr>
          <w:rFonts w:ascii="Times New Roman" w:hAnsi="Times New Roman"/>
          <w:sz w:val="24"/>
          <w:szCs w:val="24"/>
          <w:lang w:val="sr-Cyrl-CS"/>
        </w:rPr>
        <w:t>МСПП –</w:t>
      </w:r>
      <w:r w:rsidRPr="004831AB">
        <w:rPr>
          <w:rFonts w:ascii="Times New Roman" w:hAnsi="Times New Roman"/>
          <w:sz w:val="24"/>
          <w:szCs w:val="24"/>
          <w:lang w:val="sr-Cyrl-CS"/>
        </w:rPr>
        <w:t xml:space="preserve"> </w:t>
      </w:r>
      <w:r w:rsidR="00B63419" w:rsidRPr="004831AB">
        <w:rPr>
          <w:rFonts w:ascii="Times New Roman" w:hAnsi="Times New Roman"/>
          <w:sz w:val="24"/>
          <w:szCs w:val="24"/>
          <w:lang w:val="sr-Cyrl-CS"/>
        </w:rPr>
        <w:t>Ојачана предузетничка иницијатива и већа шанса за улазак у предузетништво за различите циљне групе</w:t>
      </w:r>
    </w:p>
    <w:p w14:paraId="3B95D8D8" w14:textId="77777777" w:rsidR="004C72A3" w:rsidRPr="004831AB" w:rsidRDefault="004C72A3" w:rsidP="005D4A00">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Показатељи исхода: </w:t>
      </w:r>
    </w:p>
    <w:tbl>
      <w:tblPr>
        <w:tblStyle w:val="TableGrid"/>
        <w:tblW w:w="9199" w:type="dxa"/>
        <w:tblInd w:w="10" w:type="dxa"/>
        <w:tblLayout w:type="fixed"/>
        <w:tblLook w:val="04A0" w:firstRow="1" w:lastRow="0" w:firstColumn="1" w:lastColumn="0" w:noHBand="0" w:noVBand="1"/>
      </w:tblPr>
      <w:tblGrid>
        <w:gridCol w:w="2679"/>
        <w:gridCol w:w="1134"/>
        <w:gridCol w:w="1842"/>
        <w:gridCol w:w="1134"/>
        <w:gridCol w:w="1134"/>
        <w:gridCol w:w="1276"/>
      </w:tblGrid>
      <w:tr w:rsidR="008002E6" w:rsidRPr="004831AB" w14:paraId="3BB9FBEC" w14:textId="77777777" w:rsidTr="00B15D10">
        <w:trPr>
          <w:trHeight w:val="575"/>
        </w:trPr>
        <w:tc>
          <w:tcPr>
            <w:tcW w:w="2679" w:type="dxa"/>
            <w:tcBorders>
              <w:top w:val="double" w:sz="4" w:space="0" w:color="auto"/>
            </w:tcBorders>
            <w:shd w:val="clear" w:color="auto" w:fill="D9D9D9" w:themeFill="background1" w:themeFillShade="D9"/>
          </w:tcPr>
          <w:p w14:paraId="7EAC97BA"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Показатељ(и) на нивоу посебног циља </w:t>
            </w:r>
            <w:r w:rsidRPr="004831AB">
              <w:rPr>
                <w:rFonts w:ascii="Times New Roman" w:hAnsi="Times New Roman" w:cs="Times New Roman"/>
                <w:i/>
                <w:lang w:val="sr-Cyrl-CS" w:eastAsia="en-GB"/>
              </w:rPr>
              <w:t>(показатељ исхода)</w:t>
            </w:r>
          </w:p>
        </w:tc>
        <w:tc>
          <w:tcPr>
            <w:tcW w:w="1134" w:type="dxa"/>
            <w:tcBorders>
              <w:top w:val="double" w:sz="4" w:space="0" w:color="auto"/>
            </w:tcBorders>
            <w:shd w:val="clear" w:color="auto" w:fill="D9D9D9" w:themeFill="background1" w:themeFillShade="D9"/>
          </w:tcPr>
          <w:p w14:paraId="3E45C2CA"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Jединица мере</w:t>
            </w:r>
          </w:p>
          <w:p w14:paraId="154EA1EB" w14:textId="77777777" w:rsidR="008002E6" w:rsidRPr="004831AB" w:rsidRDefault="008002E6" w:rsidP="00B15D10">
            <w:pPr>
              <w:rPr>
                <w:rFonts w:ascii="Times New Roman" w:hAnsi="Times New Roman" w:cs="Times New Roman"/>
                <w:lang w:val="sr-Cyrl-CS" w:eastAsia="en-GB"/>
              </w:rPr>
            </w:pPr>
          </w:p>
        </w:tc>
        <w:tc>
          <w:tcPr>
            <w:tcW w:w="1842" w:type="dxa"/>
            <w:tcBorders>
              <w:top w:val="double" w:sz="4" w:space="0" w:color="auto"/>
            </w:tcBorders>
            <w:shd w:val="clear" w:color="auto" w:fill="D9D9D9" w:themeFill="background1" w:themeFillShade="D9"/>
          </w:tcPr>
          <w:p w14:paraId="04A66262"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Извор провере</w:t>
            </w:r>
          </w:p>
        </w:tc>
        <w:tc>
          <w:tcPr>
            <w:tcW w:w="1134" w:type="dxa"/>
            <w:tcBorders>
              <w:top w:val="double" w:sz="4" w:space="0" w:color="auto"/>
            </w:tcBorders>
            <w:shd w:val="clear" w:color="auto" w:fill="D9D9D9" w:themeFill="background1" w:themeFillShade="D9"/>
          </w:tcPr>
          <w:p w14:paraId="7E18EAF1"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Почетна вредност </w:t>
            </w:r>
          </w:p>
        </w:tc>
        <w:tc>
          <w:tcPr>
            <w:tcW w:w="1134" w:type="dxa"/>
            <w:tcBorders>
              <w:top w:val="double" w:sz="4" w:space="0" w:color="auto"/>
            </w:tcBorders>
            <w:shd w:val="clear" w:color="auto" w:fill="D9D9D9" w:themeFill="background1" w:themeFillShade="D9"/>
          </w:tcPr>
          <w:p w14:paraId="1CFA193D"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Базна година</w:t>
            </w:r>
          </w:p>
        </w:tc>
        <w:tc>
          <w:tcPr>
            <w:tcW w:w="1276" w:type="dxa"/>
            <w:tcBorders>
              <w:top w:val="double" w:sz="4" w:space="0" w:color="auto"/>
            </w:tcBorders>
            <w:shd w:val="clear" w:color="auto" w:fill="D9D9D9" w:themeFill="background1" w:themeFillShade="D9"/>
          </w:tcPr>
          <w:p w14:paraId="41A6EC09" w14:textId="77777777" w:rsidR="008002E6" w:rsidRPr="004831AB" w:rsidRDefault="008002E6" w:rsidP="00B15D10">
            <w:pPr>
              <w:rPr>
                <w:rFonts w:ascii="Times New Roman" w:hAnsi="Times New Roman" w:cs="Times New Roman"/>
                <w:lang w:val="sr-Cyrl-CS" w:eastAsia="en-GB"/>
              </w:rPr>
            </w:pPr>
            <w:r w:rsidRPr="004831AB">
              <w:rPr>
                <w:rFonts w:ascii="Times New Roman" w:hAnsi="Times New Roman" w:cs="Times New Roman"/>
                <w:lang w:val="sr-Cyrl-CS" w:eastAsia="en-GB"/>
              </w:rPr>
              <w:t xml:space="preserve">Циљана вредност </w:t>
            </w:r>
            <w:r w:rsidR="004E4D1A" w:rsidRPr="004831AB">
              <w:rPr>
                <w:rFonts w:ascii="Times New Roman" w:hAnsi="Times New Roman" w:cs="Times New Roman"/>
                <w:lang w:val="sr-Cyrl-CS" w:eastAsia="en-GB"/>
              </w:rPr>
              <w:t xml:space="preserve"> (2027. година)</w:t>
            </w:r>
          </w:p>
        </w:tc>
      </w:tr>
      <w:tr w:rsidR="008002E6" w:rsidRPr="004831AB" w14:paraId="4E72F08E" w14:textId="77777777" w:rsidTr="00B15D10">
        <w:trPr>
          <w:trHeight w:val="254"/>
        </w:trPr>
        <w:tc>
          <w:tcPr>
            <w:tcW w:w="2679" w:type="dxa"/>
            <w:tcBorders>
              <w:top w:val="double" w:sz="4" w:space="0" w:color="auto"/>
              <w:bottom w:val="double" w:sz="4" w:space="0" w:color="auto"/>
            </w:tcBorders>
            <w:shd w:val="clear" w:color="auto" w:fill="FFFFFF" w:themeFill="background1"/>
          </w:tcPr>
          <w:p w14:paraId="690260BA" w14:textId="77777777" w:rsidR="008002E6" w:rsidRPr="004831AB" w:rsidRDefault="00992F2B" w:rsidP="001B49F0">
            <w:pPr>
              <w:tabs>
                <w:tab w:val="left" w:pos="990"/>
              </w:tabs>
              <w:jc w:val="both"/>
              <w:rPr>
                <w:rFonts w:ascii="Times New Roman" w:hAnsi="Times New Roman" w:cs="Times New Roman"/>
                <w:lang w:val="sr-Cyrl-CS" w:eastAsia="en-GB"/>
              </w:rPr>
            </w:pPr>
            <w:r w:rsidRPr="004831AB">
              <w:rPr>
                <w:rFonts w:ascii="Times New Roman" w:hAnsi="Times New Roman" w:cs="Times New Roman"/>
                <w:lang w:val="sr-Cyrl-CS"/>
              </w:rPr>
              <w:t>О</w:t>
            </w:r>
            <w:r w:rsidR="00B26F47" w:rsidRPr="004831AB">
              <w:rPr>
                <w:rFonts w:ascii="Times New Roman" w:hAnsi="Times New Roman" w:cs="Times New Roman"/>
                <w:lang w:val="sr-Cyrl-CS"/>
              </w:rPr>
              <w:t>сновани привредни субјект</w:t>
            </w:r>
            <w:r w:rsidRPr="004831AB">
              <w:rPr>
                <w:rFonts w:ascii="Times New Roman" w:hAnsi="Times New Roman" w:cs="Times New Roman"/>
                <w:lang w:val="sr-Cyrl-CS"/>
              </w:rPr>
              <w:t>и на</w:t>
            </w:r>
            <w:r w:rsidR="00B26F47" w:rsidRPr="004831AB">
              <w:rPr>
                <w:rFonts w:ascii="Times New Roman" w:hAnsi="Times New Roman" w:cs="Times New Roman"/>
                <w:lang w:val="sr-Cyrl-CS"/>
              </w:rPr>
              <w:t xml:space="preserve"> годишње</w:t>
            </w:r>
            <w:r w:rsidRPr="004831AB">
              <w:rPr>
                <w:rFonts w:ascii="Times New Roman" w:hAnsi="Times New Roman" w:cs="Times New Roman"/>
                <w:lang w:val="sr-Cyrl-CS"/>
              </w:rPr>
              <w:t>м нивоу</w:t>
            </w:r>
            <w:r w:rsidR="00B26F47" w:rsidRPr="004831AB">
              <w:rPr>
                <w:rFonts w:ascii="Times New Roman" w:hAnsi="Times New Roman" w:cs="Times New Roman"/>
                <w:lang w:val="sr-Cyrl-CS"/>
              </w:rPr>
              <w:t xml:space="preserve"> </w:t>
            </w:r>
          </w:p>
        </w:tc>
        <w:tc>
          <w:tcPr>
            <w:tcW w:w="1134" w:type="dxa"/>
            <w:tcBorders>
              <w:top w:val="double" w:sz="4" w:space="0" w:color="auto"/>
              <w:bottom w:val="double" w:sz="4" w:space="0" w:color="auto"/>
            </w:tcBorders>
            <w:shd w:val="clear" w:color="auto" w:fill="FFFFFF" w:themeFill="background1"/>
          </w:tcPr>
          <w:p w14:paraId="1B45B12A"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Број</w:t>
            </w:r>
          </w:p>
        </w:tc>
        <w:tc>
          <w:tcPr>
            <w:tcW w:w="1842" w:type="dxa"/>
            <w:tcBorders>
              <w:top w:val="double" w:sz="4" w:space="0" w:color="auto"/>
              <w:bottom w:val="double" w:sz="4" w:space="0" w:color="auto"/>
            </w:tcBorders>
            <w:shd w:val="clear" w:color="auto" w:fill="FFFFFF" w:themeFill="background1"/>
          </w:tcPr>
          <w:p w14:paraId="5BAA59D2"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Извештај о МСПП</w:t>
            </w:r>
          </w:p>
        </w:tc>
        <w:tc>
          <w:tcPr>
            <w:tcW w:w="1134" w:type="dxa"/>
            <w:tcBorders>
              <w:top w:val="double" w:sz="4" w:space="0" w:color="auto"/>
              <w:bottom w:val="double" w:sz="4" w:space="0" w:color="auto"/>
            </w:tcBorders>
            <w:shd w:val="clear" w:color="auto" w:fill="FFFFFF" w:themeFill="background1"/>
          </w:tcPr>
          <w:p w14:paraId="3144A4A8" w14:textId="7F1ADBE0" w:rsidR="008002E6" w:rsidRPr="004831AB" w:rsidRDefault="00790731"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eastAsia="en-GB"/>
              </w:rPr>
              <w:t>43.099</w:t>
            </w:r>
          </w:p>
        </w:tc>
        <w:tc>
          <w:tcPr>
            <w:tcW w:w="1134" w:type="dxa"/>
            <w:tcBorders>
              <w:top w:val="double" w:sz="4" w:space="0" w:color="auto"/>
              <w:bottom w:val="double" w:sz="4" w:space="0" w:color="auto"/>
            </w:tcBorders>
            <w:shd w:val="clear" w:color="auto" w:fill="FFFFFF" w:themeFill="background1"/>
          </w:tcPr>
          <w:p w14:paraId="316D92EE" w14:textId="5720B31C" w:rsidR="008002E6" w:rsidRPr="004831AB" w:rsidRDefault="008002E6" w:rsidP="00790731">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w:t>
            </w:r>
            <w:r w:rsidR="00790731" w:rsidRPr="004831AB">
              <w:rPr>
                <w:rFonts w:ascii="Times New Roman" w:hAnsi="Times New Roman" w:cs="Times New Roman"/>
                <w:lang w:val="sr-Cyrl-CS"/>
              </w:rPr>
              <w:t>1</w:t>
            </w:r>
          </w:p>
        </w:tc>
        <w:tc>
          <w:tcPr>
            <w:tcW w:w="1276" w:type="dxa"/>
            <w:tcBorders>
              <w:top w:val="double" w:sz="4" w:space="0" w:color="auto"/>
              <w:bottom w:val="double" w:sz="4" w:space="0" w:color="auto"/>
            </w:tcBorders>
            <w:shd w:val="clear" w:color="auto" w:fill="FFFFFF" w:themeFill="background1"/>
          </w:tcPr>
          <w:p w14:paraId="53AA7C64" w14:textId="77777777" w:rsidR="008002E6" w:rsidRPr="004831AB" w:rsidRDefault="001B49F0" w:rsidP="001B49F0">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4</w:t>
            </w:r>
            <w:r w:rsidR="001021C8" w:rsidRPr="004831AB">
              <w:rPr>
                <w:rFonts w:ascii="Times New Roman" w:hAnsi="Times New Roman" w:cs="Times New Roman"/>
                <w:lang w:val="sr-Cyrl-CS"/>
              </w:rPr>
              <w:t>5</w:t>
            </w:r>
            <w:r w:rsidR="008002E6" w:rsidRPr="004831AB">
              <w:rPr>
                <w:rFonts w:ascii="Times New Roman" w:hAnsi="Times New Roman" w:cs="Times New Roman"/>
                <w:lang w:val="sr-Cyrl-CS"/>
              </w:rPr>
              <w:t>.000</w:t>
            </w:r>
          </w:p>
        </w:tc>
      </w:tr>
      <w:tr w:rsidR="008002E6" w:rsidRPr="004831AB" w14:paraId="4EBEA2A6" w14:textId="77777777" w:rsidTr="00B15D10">
        <w:trPr>
          <w:trHeight w:val="254"/>
        </w:trPr>
        <w:tc>
          <w:tcPr>
            <w:tcW w:w="2679" w:type="dxa"/>
            <w:tcBorders>
              <w:top w:val="double" w:sz="4" w:space="0" w:color="auto"/>
            </w:tcBorders>
            <w:shd w:val="clear" w:color="auto" w:fill="FFFFFF" w:themeFill="background1"/>
          </w:tcPr>
          <w:p w14:paraId="2A834477" w14:textId="77777777" w:rsidR="008002E6" w:rsidRPr="004831AB" w:rsidRDefault="008002E6" w:rsidP="008002E6">
            <w:pPr>
              <w:tabs>
                <w:tab w:val="left" w:pos="990"/>
              </w:tabs>
              <w:jc w:val="both"/>
              <w:rPr>
                <w:rFonts w:ascii="Times New Roman" w:hAnsi="Times New Roman" w:cs="Times New Roman"/>
                <w:lang w:val="sr-Cyrl-CS"/>
              </w:rPr>
            </w:pPr>
            <w:r w:rsidRPr="004831AB">
              <w:rPr>
                <w:rFonts w:ascii="Times New Roman" w:hAnsi="Times New Roman" w:cs="Times New Roman"/>
                <w:lang w:val="sr-Cyrl-CS"/>
              </w:rPr>
              <w:t>Женско предузетништво</w:t>
            </w:r>
          </w:p>
          <w:p w14:paraId="08E64AA6" w14:textId="77777777" w:rsidR="008002E6" w:rsidRPr="004831AB" w:rsidRDefault="008002E6" w:rsidP="008002E6">
            <w:pPr>
              <w:tabs>
                <w:tab w:val="left" w:pos="990"/>
              </w:tabs>
              <w:jc w:val="both"/>
              <w:rPr>
                <w:rFonts w:ascii="Times New Roman" w:hAnsi="Times New Roman" w:cs="Times New Roman"/>
                <w:lang w:val="sr-Cyrl-CS" w:eastAsia="en-GB"/>
              </w:rPr>
            </w:pPr>
          </w:p>
        </w:tc>
        <w:tc>
          <w:tcPr>
            <w:tcW w:w="1134" w:type="dxa"/>
            <w:tcBorders>
              <w:top w:val="double" w:sz="4" w:space="0" w:color="auto"/>
            </w:tcBorders>
            <w:shd w:val="clear" w:color="auto" w:fill="FFFFFF" w:themeFill="background1"/>
          </w:tcPr>
          <w:p w14:paraId="05CA6560"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Ранг</w:t>
            </w:r>
          </w:p>
        </w:tc>
        <w:tc>
          <w:tcPr>
            <w:tcW w:w="1842" w:type="dxa"/>
            <w:tcBorders>
              <w:top w:val="double" w:sz="4" w:space="0" w:color="auto"/>
            </w:tcBorders>
            <w:shd w:val="clear" w:color="auto" w:fill="FFFFFF" w:themeFill="background1"/>
          </w:tcPr>
          <w:p w14:paraId="409FC7A7"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Индекс политике МСП</w:t>
            </w:r>
          </w:p>
        </w:tc>
        <w:tc>
          <w:tcPr>
            <w:tcW w:w="1134" w:type="dxa"/>
            <w:tcBorders>
              <w:top w:val="double" w:sz="4" w:space="0" w:color="auto"/>
            </w:tcBorders>
            <w:shd w:val="clear" w:color="auto" w:fill="FFFFFF" w:themeFill="background1"/>
          </w:tcPr>
          <w:p w14:paraId="4CBB18D9"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3,86</w:t>
            </w:r>
          </w:p>
        </w:tc>
        <w:tc>
          <w:tcPr>
            <w:tcW w:w="1134" w:type="dxa"/>
            <w:tcBorders>
              <w:top w:val="double" w:sz="4" w:space="0" w:color="auto"/>
            </w:tcBorders>
            <w:shd w:val="clear" w:color="auto" w:fill="FFFFFF" w:themeFill="background1"/>
          </w:tcPr>
          <w:p w14:paraId="40B52C1A"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2022</w:t>
            </w:r>
          </w:p>
        </w:tc>
        <w:tc>
          <w:tcPr>
            <w:tcW w:w="1276" w:type="dxa"/>
            <w:tcBorders>
              <w:top w:val="double" w:sz="4" w:space="0" w:color="auto"/>
            </w:tcBorders>
            <w:shd w:val="clear" w:color="auto" w:fill="FFFFFF" w:themeFill="background1"/>
          </w:tcPr>
          <w:p w14:paraId="0169B12C" w14:textId="77777777" w:rsidR="008002E6" w:rsidRPr="004831AB" w:rsidRDefault="008002E6" w:rsidP="008002E6">
            <w:pPr>
              <w:shd w:val="clear" w:color="auto" w:fill="FFFFFF" w:themeFill="background1"/>
              <w:rPr>
                <w:rFonts w:ascii="Times New Roman" w:hAnsi="Times New Roman" w:cs="Times New Roman"/>
                <w:lang w:val="sr-Cyrl-CS" w:eastAsia="en-GB"/>
              </w:rPr>
            </w:pPr>
            <w:r w:rsidRPr="004831AB">
              <w:rPr>
                <w:rFonts w:ascii="Times New Roman" w:hAnsi="Times New Roman" w:cs="Times New Roman"/>
                <w:lang w:val="sr-Cyrl-CS"/>
              </w:rPr>
              <w:t>4,1</w:t>
            </w:r>
          </w:p>
        </w:tc>
      </w:tr>
    </w:tbl>
    <w:p w14:paraId="0272A6F5" w14:textId="77777777" w:rsidR="0053695B" w:rsidRPr="004831AB" w:rsidRDefault="0053695B" w:rsidP="0053695B">
      <w:pPr>
        <w:pStyle w:val="ListParagraph"/>
        <w:tabs>
          <w:tab w:val="left" w:pos="990"/>
        </w:tabs>
        <w:spacing w:after="240" w:line="240" w:lineRule="auto"/>
        <w:jc w:val="both"/>
        <w:rPr>
          <w:rFonts w:ascii="Times New Roman" w:hAnsi="Times New Roman"/>
          <w:sz w:val="24"/>
          <w:szCs w:val="24"/>
          <w:lang w:val="sr-Cyrl-CS"/>
        </w:rPr>
      </w:pPr>
    </w:p>
    <w:p w14:paraId="037BAC1F" w14:textId="77777777" w:rsidR="004C72A3" w:rsidRPr="004831AB" w:rsidRDefault="00B25EF2" w:rsidP="007413FE">
      <w:pPr>
        <w:pStyle w:val="Heading1"/>
        <w:jc w:val="center"/>
        <w:rPr>
          <w:b w:val="0"/>
          <w:sz w:val="24"/>
          <w:szCs w:val="24"/>
          <w:lang w:val="sr-Cyrl-CS"/>
        </w:rPr>
      </w:pPr>
      <w:r w:rsidRPr="004831AB">
        <w:rPr>
          <w:b w:val="0"/>
          <w:sz w:val="24"/>
          <w:szCs w:val="24"/>
          <w:lang w:val="sr-Cyrl-CS"/>
        </w:rPr>
        <w:t>Ан</w:t>
      </w:r>
      <w:r w:rsidR="00FE5CF1" w:rsidRPr="004831AB">
        <w:rPr>
          <w:b w:val="0"/>
          <w:sz w:val="24"/>
          <w:szCs w:val="24"/>
          <w:lang w:val="sr-Cyrl-CS"/>
        </w:rPr>
        <w:t>ализа опција за остваривање циљева</w:t>
      </w:r>
    </w:p>
    <w:p w14:paraId="3A86CDB2" w14:textId="3C100EA5" w:rsidR="004C72A3" w:rsidRPr="004831AB" w:rsidRDefault="004C72A3" w:rsidP="007413FE">
      <w:pPr>
        <w:spacing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 сврху постизања циљева, подробно су разматране три стратешке опције – одржавање постојећег стања (</w:t>
      </w:r>
      <w:r w:rsidRPr="004831AB">
        <w:rPr>
          <w:rFonts w:ascii="Times New Roman" w:hAnsi="Times New Roman" w:cs="Times New Roman"/>
          <w:i/>
          <w:iCs/>
          <w:sz w:val="24"/>
          <w:szCs w:val="24"/>
          <w:lang w:val="sr-Cyrl-CS"/>
        </w:rPr>
        <w:t>Status quo</w:t>
      </w:r>
      <w:r w:rsidRPr="004831AB">
        <w:rPr>
          <w:rFonts w:ascii="Times New Roman" w:hAnsi="Times New Roman" w:cs="Times New Roman"/>
          <w:sz w:val="24"/>
          <w:szCs w:val="24"/>
          <w:lang w:val="sr-Cyrl-CS"/>
        </w:rPr>
        <w:t xml:space="preserve"> опција</w:t>
      </w:r>
      <w:r w:rsidR="00793985"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r w:rsidR="00793985" w:rsidRPr="004831AB">
        <w:rPr>
          <w:rFonts w:ascii="Times New Roman" w:hAnsi="Times New Roman" w:cs="Times New Roman"/>
          <w:sz w:val="24"/>
          <w:szCs w:val="24"/>
          <w:lang w:val="sr-Cyrl-CS"/>
        </w:rPr>
        <w:t>Опција базирана на секторском приступу</w:t>
      </w:r>
      <w:r w:rsidRPr="004831AB">
        <w:rPr>
          <w:rFonts w:ascii="Times New Roman" w:hAnsi="Times New Roman" w:cs="Times New Roman"/>
          <w:sz w:val="24"/>
          <w:szCs w:val="24"/>
          <w:lang w:val="sr-Cyrl-CS"/>
        </w:rPr>
        <w:t xml:space="preserve"> са унапређењем институционалног оквира и </w:t>
      </w:r>
      <w:r w:rsidR="00CB4E40" w:rsidRPr="004831AB">
        <w:rPr>
          <w:rFonts w:ascii="Times New Roman" w:hAnsi="Times New Roman" w:cs="Times New Roman"/>
          <w:sz w:val="24"/>
          <w:szCs w:val="24"/>
          <w:lang w:val="sr-Cyrl-CS"/>
        </w:rPr>
        <w:t>Опција заснована на међусекторском приступу уз</w:t>
      </w:r>
      <w:r w:rsidR="00BD25DC"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координациј</w:t>
      </w:r>
      <w:r w:rsidR="00CB4E40" w:rsidRPr="004831AB">
        <w:rPr>
          <w:rFonts w:ascii="Times New Roman" w:hAnsi="Times New Roman" w:cs="Times New Roman"/>
          <w:sz w:val="24"/>
          <w:szCs w:val="24"/>
          <w:lang w:val="sr-Cyrl-CS"/>
        </w:rPr>
        <w:t>у</w:t>
      </w:r>
      <w:r w:rsidRPr="004831AB">
        <w:rPr>
          <w:rFonts w:ascii="Times New Roman" w:hAnsi="Times New Roman" w:cs="Times New Roman"/>
          <w:sz w:val="24"/>
          <w:szCs w:val="24"/>
          <w:lang w:val="sr-Cyrl-CS"/>
        </w:rPr>
        <w:t xml:space="preserve"> политика релева</w:t>
      </w:r>
      <w:r w:rsidR="004831AB">
        <w:rPr>
          <w:rFonts w:ascii="Times New Roman" w:hAnsi="Times New Roman" w:cs="Times New Roman"/>
          <w:sz w:val="24"/>
          <w:szCs w:val="24"/>
          <w:lang w:val="sr-Cyrl-CS"/>
        </w:rPr>
        <w:t>н</w:t>
      </w:r>
      <w:r w:rsidRPr="004831AB">
        <w:rPr>
          <w:rFonts w:ascii="Times New Roman" w:hAnsi="Times New Roman" w:cs="Times New Roman"/>
          <w:sz w:val="24"/>
          <w:szCs w:val="24"/>
          <w:lang w:val="sr-Cyrl-CS"/>
        </w:rPr>
        <w:t>тних за сектор МСПП):</w:t>
      </w:r>
    </w:p>
    <w:p w14:paraId="608E0B7B" w14:textId="47761A2A" w:rsidR="004C72A3" w:rsidRPr="004831AB" w:rsidRDefault="004C72A3" w:rsidP="007413FE">
      <w:pPr>
        <w:pStyle w:val="ListParagraph"/>
        <w:numPr>
          <w:ilvl w:val="0"/>
          <w:numId w:val="16"/>
        </w:numPr>
        <w:tabs>
          <w:tab w:val="left" w:pos="993"/>
        </w:tabs>
        <w:spacing w:after="160" w:line="240" w:lineRule="auto"/>
        <w:ind w:left="0" w:firstLine="71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Pr="004831AB">
        <w:rPr>
          <w:rFonts w:ascii="Times New Roman" w:hAnsi="Times New Roman" w:cs="Times New Roman"/>
          <w:bCs/>
          <w:i/>
          <w:iCs/>
          <w:sz w:val="24"/>
          <w:szCs w:val="24"/>
          <w:lang w:val="sr-Cyrl-CS"/>
        </w:rPr>
        <w:t>Status quo</w:t>
      </w:r>
      <w:r w:rsidRPr="004831AB">
        <w:rPr>
          <w:rFonts w:ascii="Times New Roman" w:hAnsi="Times New Roman" w:cs="Times New Roman"/>
          <w:bCs/>
          <w:sz w:val="24"/>
          <w:szCs w:val="24"/>
          <w:lang w:val="sr-Cyrl-CS"/>
        </w:rPr>
        <w:t xml:space="preserve"> опција</w:t>
      </w:r>
      <w:r w:rsidRPr="004831AB">
        <w:rPr>
          <w:rFonts w:ascii="Times New Roman" w:hAnsi="Times New Roman" w:cs="Times New Roman"/>
          <w:sz w:val="24"/>
          <w:szCs w:val="24"/>
          <w:lang w:val="sr-Cyrl-CS"/>
        </w:rPr>
        <w:t xml:space="preserve"> подразумева задржавање постојећег стања у области политика усмерених ка сектору МСПП где је Министарство привреде креатор политика, а доминантна имплементација је поверена релевантним фондовима и агенцијама</w:t>
      </w:r>
      <w:r w:rsidR="007B4E73" w:rsidRPr="004831AB">
        <w:rPr>
          <w:rFonts w:ascii="Times New Roman" w:hAnsi="Times New Roman" w:cs="Times New Roman"/>
          <w:sz w:val="24"/>
          <w:szCs w:val="24"/>
          <w:lang w:val="sr-Cyrl-CS"/>
        </w:rPr>
        <w:t xml:space="preserve"> </w:t>
      </w:r>
      <w:r w:rsidR="00D766D4" w:rsidRPr="004831AB">
        <w:rPr>
          <w:rFonts w:ascii="Times New Roman" w:hAnsi="Times New Roman" w:cs="Times New Roman"/>
          <w:sz w:val="24"/>
          <w:szCs w:val="24"/>
          <w:lang w:val="sr-Cyrl-CS"/>
        </w:rPr>
        <w:t>(</w:t>
      </w:r>
      <w:r w:rsidR="00CF63C9" w:rsidRPr="004831AB">
        <w:rPr>
          <w:rFonts w:ascii="Times New Roman" w:hAnsi="Times New Roman" w:cs="Times New Roman"/>
          <w:sz w:val="24"/>
          <w:szCs w:val="24"/>
          <w:lang w:val="sr-Cyrl-CS"/>
        </w:rPr>
        <w:t>РАС</w:t>
      </w:r>
      <w:r w:rsidRPr="004831AB">
        <w:rPr>
          <w:rFonts w:ascii="Times New Roman" w:hAnsi="Times New Roman" w:cs="Times New Roman"/>
          <w:sz w:val="24"/>
          <w:szCs w:val="24"/>
          <w:lang w:val="sr-Cyrl-CS"/>
        </w:rPr>
        <w:t xml:space="preserve">, </w:t>
      </w:r>
      <w:r w:rsidR="00CF63C9" w:rsidRPr="004831AB">
        <w:rPr>
          <w:rFonts w:ascii="Times New Roman" w:hAnsi="Times New Roman" w:cs="Times New Roman"/>
          <w:sz w:val="24"/>
          <w:szCs w:val="24"/>
          <w:lang w:val="sr-Cyrl-CS"/>
        </w:rPr>
        <w:t>ФЗР</w:t>
      </w:r>
      <w:r w:rsidRPr="004831AB">
        <w:rPr>
          <w:rFonts w:ascii="Times New Roman" w:hAnsi="Times New Roman" w:cs="Times New Roman"/>
          <w:sz w:val="24"/>
          <w:szCs w:val="24"/>
          <w:lang w:val="sr-Cyrl-CS"/>
        </w:rPr>
        <w:t>, Фонд за иновациону делатност</w:t>
      </w:r>
      <w:r w:rsidR="00D766D4"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r w:rsidR="00E54606" w:rsidRPr="004831AB">
        <w:rPr>
          <w:rFonts w:ascii="Times New Roman" w:hAnsi="Times New Roman" w:cs="Times New Roman"/>
          <w:sz w:val="24"/>
          <w:szCs w:val="24"/>
          <w:lang w:val="sr-Cyrl-CS"/>
        </w:rPr>
        <w:t>АОФИ</w:t>
      </w:r>
      <w:r w:rsidR="00D766D4" w:rsidRPr="004831AB">
        <w:rPr>
          <w:rFonts w:ascii="Times New Roman" w:hAnsi="Times New Roman" w:cs="Times New Roman"/>
          <w:sz w:val="24"/>
          <w:szCs w:val="24"/>
          <w:lang w:val="sr-Cyrl-CS"/>
        </w:rPr>
        <w:t>)</w:t>
      </w:r>
      <w:r w:rsidR="007B4E73"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 xml:space="preserve">и </w:t>
      </w:r>
      <w:r w:rsidR="00A44ECA" w:rsidRPr="004831AB">
        <w:rPr>
          <w:rFonts w:ascii="Times New Roman" w:hAnsi="Times New Roman" w:cs="Times New Roman"/>
          <w:sz w:val="24"/>
          <w:szCs w:val="24"/>
          <w:lang w:val="sr-Cyrl-CS"/>
        </w:rPr>
        <w:t>ПКС</w:t>
      </w:r>
      <w:r w:rsidRPr="004831AB">
        <w:rPr>
          <w:rFonts w:ascii="Times New Roman" w:hAnsi="Times New Roman" w:cs="Times New Roman"/>
          <w:sz w:val="24"/>
          <w:szCs w:val="24"/>
          <w:lang w:val="sr-Cyrl-CS"/>
        </w:rPr>
        <w:t xml:space="preserve">. Унапређење мера политика релевантних за сектор </w:t>
      </w:r>
      <w:r w:rsidRPr="004831AB">
        <w:rPr>
          <w:rFonts w:ascii="Times New Roman" w:hAnsi="Times New Roman" w:cs="Times New Roman"/>
          <w:sz w:val="24"/>
          <w:szCs w:val="24"/>
          <w:lang w:val="sr-Cyrl-CS"/>
        </w:rPr>
        <w:lastRenderedPageBreak/>
        <w:t xml:space="preserve">МСПП би се </w:t>
      </w:r>
      <w:r w:rsidR="00BD25DC" w:rsidRPr="004831AB">
        <w:rPr>
          <w:rFonts w:ascii="Times New Roman" w:hAnsi="Times New Roman" w:cs="Times New Roman"/>
          <w:sz w:val="24"/>
          <w:szCs w:val="24"/>
          <w:lang w:val="sr-Cyrl-CS"/>
        </w:rPr>
        <w:t xml:space="preserve">одвијало </w:t>
      </w:r>
      <w:r w:rsidRPr="004831AB">
        <w:rPr>
          <w:rFonts w:ascii="Times New Roman" w:hAnsi="Times New Roman" w:cs="Times New Roman"/>
          <w:sz w:val="24"/>
          <w:szCs w:val="24"/>
          <w:lang w:val="sr-Cyrl-CS"/>
        </w:rPr>
        <w:t>уз постојећи регулаторни и институционални оквир, а раст издвајања финансијских средстава и мера нефинансијске подршке сектору МСПП био</w:t>
      </w:r>
      <w:r w:rsidR="00BD25DC" w:rsidRPr="004831AB">
        <w:rPr>
          <w:rFonts w:ascii="Times New Roman" w:hAnsi="Times New Roman" w:cs="Times New Roman"/>
          <w:sz w:val="24"/>
          <w:szCs w:val="24"/>
          <w:lang w:val="sr-Cyrl-CS"/>
        </w:rPr>
        <w:t xml:space="preserve"> би</w:t>
      </w:r>
      <w:r w:rsidRPr="004831AB">
        <w:rPr>
          <w:rFonts w:ascii="Times New Roman" w:hAnsi="Times New Roman" w:cs="Times New Roman"/>
          <w:sz w:val="24"/>
          <w:szCs w:val="24"/>
          <w:lang w:val="sr-Cyrl-CS"/>
        </w:rPr>
        <w:t xml:space="preserve"> поступан.</w:t>
      </w:r>
      <w:r w:rsidR="00D5181A" w:rsidRPr="004831AB">
        <w:rPr>
          <w:rFonts w:ascii="Times New Roman" w:hAnsi="Times New Roman" w:cs="Times New Roman"/>
          <w:sz w:val="24"/>
          <w:szCs w:val="24"/>
          <w:lang w:val="sr-Cyrl-CS"/>
        </w:rPr>
        <w:t xml:space="preserve"> Ова опција би повољно утицала на буџет Републике Србије, јер би њоме издвајања за подршку сектору МСПП остала на постојећем нивоу. Ипак, дугорочно гледано, нарочито у светлу међународних политичких кретања који негативно утичу и на глобалну привреду, али и на појединачне економије, пре свега на МСПП, задржавање постојећег стања, без даљег унапређења и регулаторног и институционалног оквира</w:t>
      </w:r>
      <w:r w:rsidR="00FC41F6" w:rsidRPr="004831AB">
        <w:rPr>
          <w:rFonts w:ascii="Times New Roman" w:hAnsi="Times New Roman" w:cs="Times New Roman"/>
          <w:sz w:val="24"/>
          <w:szCs w:val="24"/>
          <w:lang w:val="sr-Cyrl-CS"/>
        </w:rPr>
        <w:t xml:space="preserve"> </w:t>
      </w:r>
      <w:r w:rsidR="00D5181A" w:rsidRPr="004831AB">
        <w:rPr>
          <w:rFonts w:ascii="Times New Roman" w:hAnsi="Times New Roman" w:cs="Times New Roman"/>
          <w:sz w:val="24"/>
          <w:szCs w:val="24"/>
          <w:lang w:val="sr-Cyrl-CS"/>
        </w:rPr>
        <w:t>и мера финансијске и нефинансијске подршке МСПП</w:t>
      </w:r>
      <w:r w:rsidR="00FC41F6" w:rsidRPr="004831AB">
        <w:rPr>
          <w:rFonts w:ascii="Times New Roman" w:hAnsi="Times New Roman" w:cs="Times New Roman"/>
          <w:sz w:val="24"/>
          <w:szCs w:val="24"/>
          <w:lang w:val="sr-Cyrl-CS"/>
        </w:rPr>
        <w:t xml:space="preserve">, довело </w:t>
      </w:r>
      <w:r w:rsidR="00C518D8" w:rsidRPr="004831AB">
        <w:rPr>
          <w:rFonts w:ascii="Times New Roman" w:hAnsi="Times New Roman" w:cs="Times New Roman"/>
          <w:sz w:val="24"/>
          <w:szCs w:val="24"/>
          <w:lang w:val="sr-Cyrl-CS"/>
        </w:rPr>
        <w:t xml:space="preserve">би </w:t>
      </w:r>
      <w:r w:rsidR="00FC41F6" w:rsidRPr="004831AB">
        <w:rPr>
          <w:rFonts w:ascii="Times New Roman" w:hAnsi="Times New Roman" w:cs="Times New Roman"/>
          <w:sz w:val="24"/>
          <w:szCs w:val="24"/>
          <w:lang w:val="sr-Cyrl-CS"/>
        </w:rPr>
        <w:t xml:space="preserve">до слабљења овог сектора. МСПП </w:t>
      </w:r>
      <w:r w:rsidR="00BD25DC" w:rsidRPr="004831AB">
        <w:rPr>
          <w:rFonts w:ascii="Times New Roman" w:hAnsi="Times New Roman" w:cs="Times New Roman"/>
          <w:sz w:val="24"/>
          <w:szCs w:val="24"/>
          <w:lang w:val="sr-Cyrl-CS"/>
        </w:rPr>
        <w:t xml:space="preserve">сектор </w:t>
      </w:r>
      <w:r w:rsidR="00FC41F6" w:rsidRPr="004831AB">
        <w:rPr>
          <w:rFonts w:ascii="Times New Roman" w:hAnsi="Times New Roman" w:cs="Times New Roman"/>
          <w:sz w:val="24"/>
          <w:szCs w:val="24"/>
          <w:lang w:val="sr-Cyrl-CS"/>
        </w:rPr>
        <w:t xml:space="preserve">би </w:t>
      </w:r>
      <w:r w:rsidR="00BD25DC" w:rsidRPr="004831AB">
        <w:rPr>
          <w:rFonts w:ascii="Times New Roman" w:hAnsi="Times New Roman" w:cs="Times New Roman"/>
          <w:sz w:val="24"/>
          <w:szCs w:val="24"/>
          <w:lang w:val="sr-Cyrl-CS"/>
        </w:rPr>
        <w:t xml:space="preserve">постао </w:t>
      </w:r>
      <w:r w:rsidR="00FC41F6" w:rsidRPr="004831AB">
        <w:rPr>
          <w:rFonts w:ascii="Times New Roman" w:hAnsi="Times New Roman" w:cs="Times New Roman"/>
          <w:sz w:val="24"/>
          <w:szCs w:val="24"/>
          <w:lang w:val="sr-Cyrl-CS"/>
        </w:rPr>
        <w:t xml:space="preserve">додатно </w:t>
      </w:r>
      <w:r w:rsidR="00892DA4" w:rsidRPr="004831AB">
        <w:rPr>
          <w:rFonts w:ascii="Times New Roman" w:hAnsi="Times New Roman" w:cs="Times New Roman"/>
          <w:sz w:val="24"/>
          <w:szCs w:val="24"/>
          <w:lang w:val="sr-Cyrl-CS"/>
        </w:rPr>
        <w:t>рањив</w:t>
      </w:r>
      <w:r w:rsidR="00FC41F6" w:rsidRPr="004831AB">
        <w:rPr>
          <w:rFonts w:ascii="Times New Roman" w:hAnsi="Times New Roman" w:cs="Times New Roman"/>
          <w:sz w:val="24"/>
          <w:szCs w:val="24"/>
          <w:lang w:val="sr-Cyrl-CS"/>
        </w:rPr>
        <w:t xml:space="preserve">, а не би </w:t>
      </w:r>
      <w:r w:rsidR="00BD25DC" w:rsidRPr="004831AB">
        <w:rPr>
          <w:rFonts w:ascii="Times New Roman" w:hAnsi="Times New Roman" w:cs="Times New Roman"/>
          <w:sz w:val="24"/>
          <w:szCs w:val="24"/>
          <w:lang w:val="sr-Cyrl-CS"/>
        </w:rPr>
        <w:t xml:space="preserve">успео </w:t>
      </w:r>
      <w:r w:rsidR="00FC41F6" w:rsidRPr="004831AB">
        <w:rPr>
          <w:rFonts w:ascii="Times New Roman" w:hAnsi="Times New Roman" w:cs="Times New Roman"/>
          <w:sz w:val="24"/>
          <w:szCs w:val="24"/>
          <w:lang w:val="sr-Cyrl-CS"/>
        </w:rPr>
        <w:t xml:space="preserve">ни да се </w:t>
      </w:r>
      <w:r w:rsidR="00BD25DC" w:rsidRPr="004831AB">
        <w:rPr>
          <w:rFonts w:ascii="Times New Roman" w:hAnsi="Times New Roman" w:cs="Times New Roman"/>
          <w:sz w:val="24"/>
          <w:szCs w:val="24"/>
          <w:lang w:val="sr-Cyrl-CS"/>
        </w:rPr>
        <w:t xml:space="preserve">прилагоди </w:t>
      </w:r>
      <w:r w:rsidR="00FC41F6" w:rsidRPr="004831AB">
        <w:rPr>
          <w:rFonts w:ascii="Times New Roman" w:hAnsi="Times New Roman" w:cs="Times New Roman"/>
          <w:sz w:val="24"/>
          <w:szCs w:val="24"/>
          <w:lang w:val="sr-Cyrl-CS"/>
        </w:rPr>
        <w:t>променама које намеће текућа кризна ситуација</w:t>
      </w:r>
      <w:r w:rsidR="00F11F9F" w:rsidRPr="004831AB">
        <w:rPr>
          <w:rFonts w:ascii="Times New Roman" w:hAnsi="Times New Roman" w:cs="Times New Roman"/>
          <w:sz w:val="24"/>
          <w:szCs w:val="24"/>
          <w:lang w:val="sr-Cyrl-CS"/>
        </w:rPr>
        <w:t xml:space="preserve"> и потреба прилагођавања захтевима зелене агенде.</w:t>
      </w:r>
      <w:r w:rsidR="00B127C7" w:rsidRPr="004831AB">
        <w:rPr>
          <w:rFonts w:ascii="Times New Roman" w:hAnsi="Times New Roman" w:cs="Times New Roman"/>
          <w:sz w:val="24"/>
          <w:szCs w:val="24"/>
          <w:lang w:val="sr-Cyrl-CS"/>
        </w:rPr>
        <w:t xml:space="preserve"> </w:t>
      </w:r>
      <w:r w:rsidR="00FC41F6" w:rsidRPr="004831AB">
        <w:rPr>
          <w:rFonts w:ascii="Times New Roman" w:hAnsi="Times New Roman" w:cs="Times New Roman"/>
          <w:sz w:val="24"/>
          <w:szCs w:val="24"/>
          <w:lang w:val="sr-Cyrl-CS"/>
        </w:rPr>
        <w:t xml:space="preserve">Имајући у виду значај МСПП за привреду </w:t>
      </w:r>
      <w:r w:rsidR="003F504C" w:rsidRPr="004831AB">
        <w:rPr>
          <w:rFonts w:ascii="Times New Roman" w:hAnsi="Times New Roman" w:cs="Times New Roman"/>
          <w:sz w:val="24"/>
          <w:szCs w:val="24"/>
          <w:lang w:val="sr-Cyrl-CS"/>
        </w:rPr>
        <w:t xml:space="preserve">Републике </w:t>
      </w:r>
      <w:r w:rsidR="00FC41F6" w:rsidRPr="004831AB">
        <w:rPr>
          <w:rFonts w:ascii="Times New Roman" w:hAnsi="Times New Roman" w:cs="Times New Roman"/>
          <w:sz w:val="24"/>
          <w:szCs w:val="24"/>
          <w:lang w:val="sr-Cyrl-CS"/>
        </w:rPr>
        <w:t>Србије, а и за локалне заједнице (нарочито јер МСПП у великој мери обухватају и рањиве групе као што су жене, националне мањине, мла</w:t>
      </w:r>
      <w:r w:rsidR="00AF76B1" w:rsidRPr="004831AB">
        <w:rPr>
          <w:rFonts w:ascii="Times New Roman" w:hAnsi="Times New Roman" w:cs="Times New Roman"/>
          <w:sz w:val="24"/>
          <w:szCs w:val="24"/>
          <w:lang w:val="sr-Cyrl-CS"/>
        </w:rPr>
        <w:t>де, социјална предузећа и сл</w:t>
      </w:r>
      <w:r w:rsidR="00FC41F6" w:rsidRPr="004831AB">
        <w:rPr>
          <w:rFonts w:ascii="Times New Roman" w:hAnsi="Times New Roman" w:cs="Times New Roman"/>
          <w:sz w:val="24"/>
          <w:szCs w:val="24"/>
          <w:lang w:val="sr-Cyrl-CS"/>
        </w:rPr>
        <w:t xml:space="preserve">) задржавање тренутног стања и избор ове опције би имао и негативан утицај на општу друштвено-економску ситуацију. </w:t>
      </w:r>
    </w:p>
    <w:p w14:paraId="445B58D5" w14:textId="77777777" w:rsidR="004C72A3" w:rsidRPr="004831AB" w:rsidRDefault="00793985" w:rsidP="007413FE">
      <w:pPr>
        <w:pStyle w:val="ListParagraph"/>
        <w:numPr>
          <w:ilvl w:val="0"/>
          <w:numId w:val="16"/>
        </w:numPr>
        <w:tabs>
          <w:tab w:val="left" w:pos="993"/>
        </w:tabs>
        <w:spacing w:after="160" w:line="240" w:lineRule="auto"/>
        <w:ind w:left="0" w:firstLine="710"/>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Опција базирана на секторском приступу</w:t>
      </w:r>
      <w:r w:rsidR="004C72A3" w:rsidRPr="004831AB">
        <w:rPr>
          <w:rFonts w:ascii="Times New Roman" w:hAnsi="Times New Roman" w:cs="Times New Roman"/>
          <w:sz w:val="24"/>
          <w:szCs w:val="24"/>
          <w:lang w:val="sr-Cyrl-CS"/>
        </w:rPr>
        <w:t xml:space="preserve"> би подразумевала јачање институционалног оквира тако што би се у одређеној мери изменили или допунили постојећи прописи са директним утицајем на сектор МСПП. То би значило да се ојачају капацитети јавних финансијских фондова и агенција за имплементацију политика усмерених ка МСПП, без координације са осталим политикама са дугорочнијим и инфраструктурним деловањем ка сектору МСПП.</w:t>
      </w:r>
      <w:r w:rsidR="005177CA" w:rsidRPr="004831AB">
        <w:rPr>
          <w:rFonts w:ascii="Times New Roman" w:hAnsi="Times New Roman" w:cs="Times New Roman"/>
          <w:sz w:val="24"/>
          <w:szCs w:val="24"/>
          <w:lang w:val="sr-Cyrl-CS"/>
        </w:rPr>
        <w:t xml:space="preserve"> Јачање капацитета институција које се баве подршком МСПП је од суштинске важности за даље унапређење перформанси овог сектора, имајући у виду да квалитативно и квантитативно значајнија подршка МСПП подстиче њихов раст и развој, као и отпорност на негативне ефекте кризних времена. Ипак, без регулаторних интервенција, као и сарадње са другим институцијама и организацијама, а имајући у виду вишедимензионалност сектора МСПП, неће бити могуће постићи адекватне резултате и дугорочне ефекте, нарочито у правном и регулаторном оквиру, те већи капацитети институција неће бити праћени значајнијим унапређењем оперативног оквира и стварања подстицајног окружења за раст и развој МСПП. </w:t>
      </w:r>
    </w:p>
    <w:p w14:paraId="7F6BB379" w14:textId="192E4A8C" w:rsidR="004C72A3" w:rsidRPr="004831AB" w:rsidRDefault="00793985" w:rsidP="007413FE">
      <w:pPr>
        <w:pStyle w:val="ListParagraph"/>
        <w:numPr>
          <w:ilvl w:val="0"/>
          <w:numId w:val="16"/>
        </w:numPr>
        <w:tabs>
          <w:tab w:val="left" w:pos="993"/>
        </w:tabs>
        <w:spacing w:after="160" w:line="240" w:lineRule="auto"/>
        <w:ind w:left="0" w:firstLine="710"/>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Опција базирана на међусекторском приступу</w:t>
      </w:r>
      <w:r w:rsidR="004C72A3" w:rsidRPr="004831AB">
        <w:rPr>
          <w:rFonts w:ascii="Times New Roman" w:hAnsi="Times New Roman" w:cs="Times New Roman"/>
          <w:sz w:val="24"/>
          <w:szCs w:val="24"/>
          <w:lang w:val="sr-Cyrl-CS"/>
        </w:rPr>
        <w:t xml:space="preserve"> је заснована на координацији релевантних политика </w:t>
      </w:r>
      <w:r w:rsidR="00543919" w:rsidRPr="004831AB">
        <w:rPr>
          <w:rFonts w:ascii="Times New Roman" w:hAnsi="Times New Roman" w:cs="Times New Roman"/>
          <w:sz w:val="24"/>
          <w:szCs w:val="24"/>
          <w:lang w:val="sr-Cyrl-CS"/>
        </w:rPr>
        <w:t>и</w:t>
      </w:r>
      <w:r w:rsidR="007355DB" w:rsidRPr="004831AB">
        <w:rPr>
          <w:rFonts w:ascii="Times New Roman" w:hAnsi="Times New Roman" w:cs="Times New Roman"/>
          <w:sz w:val="24"/>
          <w:szCs w:val="24"/>
          <w:lang w:val="sr-Cyrl-CS"/>
        </w:rPr>
        <w:t xml:space="preserve"> </w:t>
      </w:r>
      <w:r w:rsidR="004C72A3" w:rsidRPr="004831AB">
        <w:rPr>
          <w:rFonts w:ascii="Times New Roman" w:hAnsi="Times New Roman" w:cs="Times New Roman"/>
          <w:sz w:val="24"/>
          <w:szCs w:val="24"/>
          <w:lang w:val="sr-Cyrl-CS"/>
        </w:rPr>
        <w:t>осим јачања капацитета носилаца политике развоја сектора МСПП</w:t>
      </w:r>
      <w:r w:rsidR="007355DB" w:rsidRPr="004831AB">
        <w:rPr>
          <w:rFonts w:ascii="Times New Roman" w:hAnsi="Times New Roman" w:cs="Times New Roman"/>
          <w:sz w:val="24"/>
          <w:szCs w:val="24"/>
          <w:lang w:val="sr-Cyrl-CS"/>
        </w:rPr>
        <w:t>,</w:t>
      </w:r>
      <w:r w:rsidR="004C72A3" w:rsidRPr="004831AB">
        <w:rPr>
          <w:rFonts w:ascii="Times New Roman" w:hAnsi="Times New Roman" w:cs="Times New Roman"/>
          <w:sz w:val="24"/>
          <w:szCs w:val="24"/>
          <w:lang w:val="sr-Cyrl-CS"/>
        </w:rPr>
        <w:t xml:space="preserve"> подразумева и реформске кораке у образовним, пореским по</w:t>
      </w:r>
      <w:r w:rsidR="00A15091" w:rsidRPr="004831AB">
        <w:rPr>
          <w:rFonts w:ascii="Times New Roman" w:hAnsi="Times New Roman" w:cs="Times New Roman"/>
          <w:sz w:val="24"/>
          <w:szCs w:val="24"/>
          <w:lang w:val="sr-Cyrl-CS"/>
        </w:rPr>
        <w:t>л</w:t>
      </w:r>
      <w:r w:rsidR="004C72A3" w:rsidRPr="004831AB">
        <w:rPr>
          <w:rFonts w:ascii="Times New Roman" w:hAnsi="Times New Roman" w:cs="Times New Roman"/>
          <w:sz w:val="24"/>
          <w:szCs w:val="24"/>
          <w:lang w:val="sr-Cyrl-CS"/>
        </w:rPr>
        <w:t>итикама, заштите животне средине, политике научно-технолошког развоја и иновација и другим релевантним политикама.</w:t>
      </w:r>
      <w:r w:rsidR="00E777EB" w:rsidRPr="004831AB">
        <w:rPr>
          <w:rFonts w:ascii="Times New Roman" w:hAnsi="Times New Roman" w:cs="Times New Roman"/>
          <w:sz w:val="24"/>
          <w:szCs w:val="24"/>
          <w:lang w:val="sr-Cyrl-CS"/>
        </w:rPr>
        <w:t xml:space="preserve"> Имајући у виду мулти-димензионалност и међусекторску природу политике МСПП, само кроз свеобухватну сарадњу и координацију свих релевантних институција могуће је постићи одрживост сектора МСПП, унапређење његове ресурсне и финансијске ефикасности као и даљу трансформацију у складу са општим токовима у глобалној утакмици (дигитална, зелена, иновативна МСПП). Финансијски</w:t>
      </w:r>
      <w:r w:rsidR="00556096" w:rsidRPr="004831AB">
        <w:rPr>
          <w:rFonts w:ascii="Times New Roman" w:hAnsi="Times New Roman" w:cs="Times New Roman"/>
          <w:sz w:val="24"/>
          <w:szCs w:val="24"/>
          <w:lang w:val="sr-Cyrl-CS"/>
        </w:rPr>
        <w:t xml:space="preserve"> гледано,</w:t>
      </w:r>
      <w:r w:rsidR="00E777EB" w:rsidRPr="004831AB">
        <w:rPr>
          <w:rFonts w:ascii="Times New Roman" w:hAnsi="Times New Roman" w:cs="Times New Roman"/>
          <w:sz w:val="24"/>
          <w:szCs w:val="24"/>
          <w:lang w:val="sr-Cyrl-CS"/>
        </w:rPr>
        <w:t xml:space="preserve"> ова опција је најзахтевнија и подразумева највише средстава, како из буџета Републике Србије, тако и од билатер</w:t>
      </w:r>
      <w:r w:rsidR="004831AB">
        <w:rPr>
          <w:rFonts w:ascii="Times New Roman" w:hAnsi="Times New Roman" w:cs="Times New Roman"/>
          <w:sz w:val="24"/>
          <w:szCs w:val="24"/>
          <w:lang w:val="sr-Cyrl-CS"/>
        </w:rPr>
        <w:t>а</w:t>
      </w:r>
      <w:r w:rsidR="00E777EB" w:rsidRPr="004831AB">
        <w:rPr>
          <w:rFonts w:ascii="Times New Roman" w:hAnsi="Times New Roman" w:cs="Times New Roman"/>
          <w:sz w:val="24"/>
          <w:szCs w:val="24"/>
          <w:lang w:val="sr-Cyrl-CS"/>
        </w:rPr>
        <w:t xml:space="preserve">лних и међународних донатора. Ова опција подразумева усмеравање свих расположивих ресурса ка подршци МСПП и креирању подстицајног пословног окружења за МСПП које стимулише њихово оснивање, раст и развој, и јача њихову отпорност на свакодневне изазове са којима се суочавају у свакодневном пословању. Ипак, она доноси и највише користи. Не само што ће оснажена МСПП значајно допринети </w:t>
      </w:r>
      <w:r w:rsidR="00E279A0" w:rsidRPr="004831AB">
        <w:rPr>
          <w:rFonts w:ascii="Times New Roman" w:hAnsi="Times New Roman" w:cs="Times New Roman"/>
          <w:sz w:val="24"/>
          <w:szCs w:val="24"/>
          <w:lang w:val="sr-Cyrl-CS"/>
        </w:rPr>
        <w:t xml:space="preserve">буџету, већ јачи сектор позитивно утиче и на друштвено-економски развој и раст, а повећава и конкурентност националне привреде и бољу позиционираност у глобалној тржишној утакмици. </w:t>
      </w:r>
    </w:p>
    <w:p w14:paraId="61D12FD4" w14:textId="4178BB24" w:rsidR="004C72A3" w:rsidRPr="004831AB" w:rsidRDefault="00DC1EE1" w:rsidP="00A81FB0">
      <w:pPr>
        <w:spacing w:line="240" w:lineRule="auto"/>
        <w:ind w:firstLine="71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Н</w:t>
      </w:r>
      <w:r w:rsidR="004C72A3" w:rsidRPr="004831AB">
        <w:rPr>
          <w:rFonts w:ascii="Times New Roman" w:hAnsi="Times New Roman" w:cs="Times New Roman"/>
          <w:sz w:val="24"/>
          <w:szCs w:val="24"/>
          <w:lang w:val="sr-Cyrl-CS"/>
        </w:rPr>
        <w:t xml:space="preserve">аведене опције евалуиране </w:t>
      </w:r>
      <w:r w:rsidR="00D766D4" w:rsidRPr="004831AB">
        <w:rPr>
          <w:rFonts w:ascii="Times New Roman" w:hAnsi="Times New Roman" w:cs="Times New Roman"/>
          <w:sz w:val="24"/>
          <w:szCs w:val="24"/>
          <w:lang w:val="sr-Cyrl-CS"/>
        </w:rPr>
        <w:t xml:space="preserve">су </w:t>
      </w:r>
      <w:r w:rsidR="004C72A3" w:rsidRPr="004831AB">
        <w:rPr>
          <w:rFonts w:ascii="Times New Roman" w:hAnsi="Times New Roman" w:cs="Times New Roman"/>
          <w:sz w:val="24"/>
          <w:szCs w:val="24"/>
          <w:lang w:val="sr-Cyrl-CS"/>
        </w:rPr>
        <w:t xml:space="preserve">коришћењем критеријума ефикасности, ефективности, трошкова, капацитета за имплементацију и одрживости опције. </w:t>
      </w:r>
    </w:p>
    <w:p w14:paraId="3124B00F" w14:textId="7B41C087" w:rsidR="004C72A3" w:rsidRPr="004831AB" w:rsidRDefault="00A81FB0" w:rsidP="00A81FB0">
      <w:pPr>
        <w:pStyle w:val="ListParagraph"/>
        <w:numPr>
          <w:ilvl w:val="0"/>
          <w:numId w:val="17"/>
        </w:numPr>
        <w:tabs>
          <w:tab w:val="left" w:pos="851"/>
        </w:tabs>
        <w:spacing w:after="160" w:line="240" w:lineRule="auto"/>
        <w:ind w:left="0" w:firstLine="851"/>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bCs/>
          <w:sz w:val="24"/>
          <w:szCs w:val="24"/>
          <w:lang w:val="sr-Cyrl-CS"/>
        </w:rPr>
        <w:t>Ефективност</w:t>
      </w:r>
      <w:r w:rsidR="004C72A3" w:rsidRPr="004831AB">
        <w:rPr>
          <w:rFonts w:ascii="Times New Roman" w:hAnsi="Times New Roman" w:cs="Times New Roman"/>
          <w:sz w:val="24"/>
          <w:szCs w:val="24"/>
          <w:lang w:val="sr-Cyrl-CS"/>
        </w:rPr>
        <w:t xml:space="preserve"> у достизању циљева показује у ком нивоу ће јавна политика остварити своје циљеве, односно какви ће бити диференцијални резултати за сектор МСПП. </w:t>
      </w:r>
    </w:p>
    <w:p w14:paraId="6782F355" w14:textId="03DD9386" w:rsidR="004C72A3" w:rsidRPr="004831AB" w:rsidRDefault="00A81FB0" w:rsidP="00A81FB0">
      <w:pPr>
        <w:pStyle w:val="ListParagraph"/>
        <w:numPr>
          <w:ilvl w:val="0"/>
          <w:numId w:val="17"/>
        </w:numPr>
        <w:tabs>
          <w:tab w:val="left" w:pos="851"/>
        </w:tabs>
        <w:spacing w:after="160" w:line="240" w:lineRule="auto"/>
        <w:ind w:left="0" w:firstLine="851"/>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bCs/>
          <w:sz w:val="24"/>
          <w:szCs w:val="24"/>
          <w:lang w:val="sr-Cyrl-CS"/>
        </w:rPr>
        <w:t>Ефикасност</w:t>
      </w:r>
      <w:r w:rsidR="004C72A3" w:rsidRPr="004831AB">
        <w:rPr>
          <w:rFonts w:ascii="Times New Roman" w:hAnsi="Times New Roman" w:cs="Times New Roman"/>
          <w:sz w:val="24"/>
          <w:szCs w:val="24"/>
          <w:lang w:val="sr-Cyrl-CS"/>
        </w:rPr>
        <w:t xml:space="preserve"> у достизању циља се односи на ниво до које јавна политика испоручује резултат у економском и временском смислу. </w:t>
      </w:r>
    </w:p>
    <w:p w14:paraId="25BDF373" w14:textId="3FBA28A3" w:rsidR="004C72A3" w:rsidRPr="004831AB" w:rsidRDefault="00A81FB0" w:rsidP="00A81FB0">
      <w:pPr>
        <w:pStyle w:val="ListParagraph"/>
        <w:numPr>
          <w:ilvl w:val="0"/>
          <w:numId w:val="17"/>
        </w:numPr>
        <w:tabs>
          <w:tab w:val="left" w:pos="851"/>
        </w:tabs>
        <w:spacing w:after="160" w:line="240" w:lineRule="auto"/>
        <w:ind w:left="0" w:firstLine="851"/>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bCs/>
          <w:sz w:val="24"/>
          <w:szCs w:val="24"/>
          <w:lang w:val="sr-Cyrl-CS"/>
        </w:rPr>
        <w:t>Трошкови</w:t>
      </w:r>
      <w:r w:rsidR="004C72A3" w:rsidRPr="004831AB">
        <w:rPr>
          <w:rFonts w:ascii="Times New Roman" w:hAnsi="Times New Roman" w:cs="Times New Roman"/>
          <w:sz w:val="24"/>
          <w:szCs w:val="24"/>
          <w:lang w:val="sr-Cyrl-CS"/>
        </w:rPr>
        <w:t xml:space="preserve"> се односе на финансијски израз свих утрошака неопходних да би се реализовали постављени циљеви и испуниле мере.</w:t>
      </w:r>
    </w:p>
    <w:p w14:paraId="03314804" w14:textId="28A5B4DD" w:rsidR="004C72A3" w:rsidRPr="004831AB" w:rsidRDefault="00A81FB0" w:rsidP="00A81FB0">
      <w:pPr>
        <w:pStyle w:val="ListParagraph"/>
        <w:numPr>
          <w:ilvl w:val="0"/>
          <w:numId w:val="17"/>
        </w:numPr>
        <w:tabs>
          <w:tab w:val="left" w:pos="851"/>
        </w:tabs>
        <w:spacing w:after="160" w:line="240" w:lineRule="auto"/>
        <w:ind w:left="0" w:firstLine="851"/>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bCs/>
          <w:sz w:val="24"/>
          <w:szCs w:val="24"/>
          <w:lang w:val="sr-Cyrl-CS"/>
        </w:rPr>
        <w:t xml:space="preserve">Капацитет </w:t>
      </w:r>
      <w:r w:rsidR="004C72A3" w:rsidRPr="004831AB">
        <w:rPr>
          <w:rFonts w:ascii="Times New Roman" w:hAnsi="Times New Roman" w:cs="Times New Roman"/>
          <w:sz w:val="24"/>
          <w:szCs w:val="24"/>
          <w:lang w:val="sr-Cyrl-CS"/>
        </w:rPr>
        <w:t>за имплементацију</w:t>
      </w:r>
      <w:r w:rsidR="004C72A3"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sz w:val="24"/>
          <w:szCs w:val="24"/>
          <w:lang w:val="sr-Cyrl-CS"/>
        </w:rPr>
        <w:t>приказује расположиве и реално очекиване људске, материјалне и финансијске ресурсе неопходне за примену поменутих опција.</w:t>
      </w:r>
    </w:p>
    <w:p w14:paraId="14A46EA3" w14:textId="5119DFB7" w:rsidR="004C72A3" w:rsidRPr="004831AB" w:rsidRDefault="00A81FB0" w:rsidP="00A81FB0">
      <w:pPr>
        <w:pStyle w:val="ListParagraph"/>
        <w:numPr>
          <w:ilvl w:val="0"/>
          <w:numId w:val="17"/>
        </w:numPr>
        <w:tabs>
          <w:tab w:val="left" w:pos="851"/>
        </w:tabs>
        <w:spacing w:after="160" w:line="240" w:lineRule="auto"/>
        <w:ind w:left="0" w:firstLine="851"/>
        <w:jc w:val="both"/>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 xml:space="preserve"> </w:t>
      </w:r>
      <w:r w:rsidR="004C72A3" w:rsidRPr="004831AB">
        <w:rPr>
          <w:rFonts w:ascii="Times New Roman" w:hAnsi="Times New Roman" w:cs="Times New Roman"/>
          <w:bCs/>
          <w:sz w:val="24"/>
          <w:szCs w:val="24"/>
          <w:lang w:val="sr-Cyrl-CS"/>
        </w:rPr>
        <w:t xml:space="preserve">Одрживост </w:t>
      </w:r>
      <w:r w:rsidR="004C72A3" w:rsidRPr="004831AB">
        <w:rPr>
          <w:rFonts w:ascii="Times New Roman" w:hAnsi="Times New Roman" w:cs="Times New Roman"/>
          <w:sz w:val="24"/>
          <w:szCs w:val="24"/>
          <w:lang w:val="sr-Cyrl-CS"/>
        </w:rPr>
        <w:t xml:space="preserve">треба да прикаже степен доприноса опције решавању идентификованих проблема сектора МСПП, те укупном економском и друштвеном развоју Републике Србије.  </w:t>
      </w:r>
    </w:p>
    <w:p w14:paraId="03352B01" w14:textId="77777777" w:rsidR="004C72A3" w:rsidRPr="004831AB" w:rsidRDefault="004C72A3" w:rsidP="003459FD">
      <w:pPr>
        <w:spacing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Сваки критеријум је оцењиван у распону од 1 (најнижа оцена) до 5 (највиша оцена), а изабрана опција је она </w:t>
      </w:r>
      <w:r w:rsidR="00CB4E40" w:rsidRPr="004831AB">
        <w:rPr>
          <w:rFonts w:ascii="Times New Roman" w:hAnsi="Times New Roman" w:cs="Times New Roman"/>
          <w:sz w:val="24"/>
          <w:szCs w:val="24"/>
          <w:lang w:val="sr-Cyrl-CS"/>
        </w:rPr>
        <w:t>чији збир је</w:t>
      </w:r>
      <w:r w:rsidRPr="004831AB">
        <w:rPr>
          <w:rFonts w:ascii="Times New Roman" w:hAnsi="Times New Roman" w:cs="Times New Roman"/>
          <w:sz w:val="24"/>
          <w:szCs w:val="24"/>
          <w:lang w:val="sr-Cyrl-CS"/>
        </w:rPr>
        <w:t xml:space="preserve"> по свим критеријумима</w:t>
      </w:r>
      <w:r w:rsidR="00CB4E40"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без коришћења тежинских коефицијената, односно са латентном јединичном пондерацијом</w:t>
      </w:r>
      <w:r w:rsidR="00CB4E40" w:rsidRPr="004831AB">
        <w:rPr>
          <w:rFonts w:ascii="Times New Roman" w:hAnsi="Times New Roman" w:cs="Times New Roman"/>
          <w:sz w:val="24"/>
          <w:szCs w:val="24"/>
          <w:lang w:val="sr-Cyrl-CS"/>
        </w:rPr>
        <w:t xml:space="preserve"> највећи</w:t>
      </w:r>
      <w:r w:rsidRPr="004831AB">
        <w:rPr>
          <w:rFonts w:ascii="Times New Roman" w:hAnsi="Times New Roman" w:cs="Times New Roman"/>
          <w:sz w:val="24"/>
          <w:szCs w:val="24"/>
          <w:lang w:val="sr-Cyrl-CS"/>
        </w:rPr>
        <w:t>. У наредној табели су приказани резултати оцене и укупан резултат.</w:t>
      </w:r>
    </w:p>
    <w:p w14:paraId="29BF69EE" w14:textId="2CB9BBDF" w:rsidR="00614478" w:rsidRPr="004831AB" w:rsidRDefault="007E752E" w:rsidP="00614478">
      <w:pPr>
        <w:pStyle w:val="Caption"/>
        <w:keepNext/>
        <w:rPr>
          <w:lang w:val="sr-Cyrl-CS"/>
        </w:rPr>
      </w:pPr>
      <w:r w:rsidRPr="004831AB">
        <w:rPr>
          <w:lang w:val="sr-Cyrl-CS"/>
        </w:rPr>
        <w:t xml:space="preserve">ТАБЕЛА 5: </w:t>
      </w:r>
      <w:r w:rsidR="00D11062" w:rsidRPr="004831AB">
        <w:rPr>
          <w:lang w:val="sr-Cyrl-CS"/>
        </w:rPr>
        <w:t>УПОРЕДНИ ПРИКАЗ СТРАТЕШКИХ ОПЦИЈА ЗА ДАТЕ КРИТЕРИЈУМЕ</w:t>
      </w:r>
    </w:p>
    <w:tbl>
      <w:tblPr>
        <w:tblStyle w:val="GridTable1Light"/>
        <w:tblW w:w="0" w:type="auto"/>
        <w:tblLook w:val="04A0" w:firstRow="1" w:lastRow="0" w:firstColumn="1" w:lastColumn="0" w:noHBand="0" w:noVBand="1"/>
      </w:tblPr>
      <w:tblGrid>
        <w:gridCol w:w="2425"/>
        <w:gridCol w:w="2249"/>
        <w:gridCol w:w="1386"/>
        <w:gridCol w:w="1776"/>
      </w:tblGrid>
      <w:tr w:rsidR="004C72A3" w:rsidRPr="004831AB" w14:paraId="0684E3EB" w14:textId="77777777" w:rsidTr="00B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F2F2F2" w:themeFill="background1" w:themeFillShade="F2"/>
            <w:vAlign w:val="bottom"/>
          </w:tcPr>
          <w:p w14:paraId="2F4F9B84" w14:textId="77777777" w:rsidR="004C72A3" w:rsidRPr="004831AB" w:rsidRDefault="004C72A3"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Критеријум</w:t>
            </w:r>
          </w:p>
        </w:tc>
        <w:tc>
          <w:tcPr>
            <w:tcW w:w="2249" w:type="dxa"/>
            <w:shd w:val="clear" w:color="auto" w:fill="F2F2F2" w:themeFill="background1" w:themeFillShade="F2"/>
            <w:vAlign w:val="bottom"/>
          </w:tcPr>
          <w:p w14:paraId="1C0DEF72" w14:textId="77777777" w:rsidR="004C72A3" w:rsidRPr="004831AB" w:rsidRDefault="004C72A3" w:rsidP="00DF4A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(1)</w:t>
            </w:r>
            <w:r w:rsidRPr="004831AB">
              <w:rPr>
                <w:rFonts w:ascii="Times New Roman" w:hAnsi="Times New Roman" w:cs="Times New Roman"/>
                <w:b w:val="0"/>
                <w:sz w:val="24"/>
                <w:szCs w:val="24"/>
                <w:lang w:val="sr-Cyrl-CS"/>
              </w:rPr>
              <w:br/>
            </w:r>
            <w:r w:rsidRPr="004831AB">
              <w:rPr>
                <w:rFonts w:ascii="Times New Roman" w:hAnsi="Times New Roman" w:cs="Times New Roman"/>
                <w:b w:val="0"/>
                <w:i/>
                <w:iCs/>
                <w:sz w:val="24"/>
                <w:szCs w:val="24"/>
                <w:lang w:val="sr-Cyrl-CS"/>
              </w:rPr>
              <w:t>Status quo</w:t>
            </w:r>
            <w:r w:rsidRPr="004831AB">
              <w:rPr>
                <w:rFonts w:ascii="Times New Roman" w:hAnsi="Times New Roman" w:cs="Times New Roman"/>
                <w:b w:val="0"/>
                <w:sz w:val="24"/>
                <w:szCs w:val="24"/>
                <w:lang w:val="sr-Cyrl-CS"/>
              </w:rPr>
              <w:t xml:space="preserve"> </w:t>
            </w:r>
            <w:r w:rsidRPr="004831AB">
              <w:rPr>
                <w:rFonts w:ascii="Times New Roman" w:hAnsi="Times New Roman" w:cs="Times New Roman"/>
                <w:b w:val="0"/>
                <w:sz w:val="24"/>
                <w:szCs w:val="24"/>
                <w:lang w:val="sr-Cyrl-CS"/>
              </w:rPr>
              <w:br/>
              <w:t>опција</w:t>
            </w:r>
          </w:p>
        </w:tc>
        <w:tc>
          <w:tcPr>
            <w:tcW w:w="0" w:type="dxa"/>
            <w:shd w:val="clear" w:color="auto" w:fill="F2F2F2" w:themeFill="background1" w:themeFillShade="F2"/>
            <w:vAlign w:val="bottom"/>
          </w:tcPr>
          <w:p w14:paraId="5DA7AFBF" w14:textId="77777777" w:rsidR="004C72A3" w:rsidRPr="004831AB" w:rsidRDefault="004C72A3" w:rsidP="00DF4A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 xml:space="preserve">(2) </w:t>
            </w:r>
            <w:r w:rsidRPr="004831AB">
              <w:rPr>
                <w:rFonts w:ascii="Times New Roman" w:hAnsi="Times New Roman" w:cs="Times New Roman"/>
                <w:b w:val="0"/>
                <w:sz w:val="24"/>
                <w:szCs w:val="24"/>
                <w:lang w:val="sr-Cyrl-CS"/>
              </w:rPr>
              <w:br/>
            </w:r>
            <w:r w:rsidR="007B5AA3" w:rsidRPr="004831AB">
              <w:rPr>
                <w:rFonts w:ascii="Times New Roman" w:hAnsi="Times New Roman" w:cs="Times New Roman"/>
                <w:b w:val="0"/>
                <w:sz w:val="24"/>
                <w:szCs w:val="24"/>
                <w:lang w:val="sr-Cyrl-CS"/>
              </w:rPr>
              <w:t>Опција заснована на секторском приступу</w:t>
            </w:r>
          </w:p>
        </w:tc>
        <w:tc>
          <w:tcPr>
            <w:tcW w:w="0" w:type="dxa"/>
            <w:shd w:val="clear" w:color="auto" w:fill="F2F2F2" w:themeFill="background1" w:themeFillShade="F2"/>
            <w:vAlign w:val="bottom"/>
          </w:tcPr>
          <w:p w14:paraId="050E093C" w14:textId="77777777" w:rsidR="004C72A3" w:rsidRPr="004831AB" w:rsidRDefault="004C72A3" w:rsidP="00DF4A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(3)</w:t>
            </w:r>
            <w:r w:rsidRPr="004831AB">
              <w:rPr>
                <w:rFonts w:ascii="Times New Roman" w:hAnsi="Times New Roman" w:cs="Times New Roman"/>
                <w:b w:val="0"/>
                <w:sz w:val="24"/>
                <w:szCs w:val="24"/>
                <w:lang w:val="sr-Cyrl-CS"/>
              </w:rPr>
              <w:br/>
              <w:t xml:space="preserve">Међусекторска </w:t>
            </w:r>
            <w:r w:rsidR="007B5AA3" w:rsidRPr="004831AB">
              <w:rPr>
                <w:rFonts w:ascii="Times New Roman" w:hAnsi="Times New Roman" w:cs="Times New Roman"/>
                <w:b w:val="0"/>
                <w:sz w:val="24"/>
                <w:szCs w:val="24"/>
                <w:lang w:val="sr-Cyrl-CS"/>
              </w:rPr>
              <w:t>опција</w:t>
            </w:r>
          </w:p>
        </w:tc>
      </w:tr>
      <w:tr w:rsidR="004C72A3" w:rsidRPr="004831AB" w14:paraId="6B0553E1" w14:textId="77777777" w:rsidTr="00B55629">
        <w:tc>
          <w:tcPr>
            <w:cnfStyle w:val="001000000000" w:firstRow="0" w:lastRow="0" w:firstColumn="1" w:lastColumn="0" w:oddVBand="0" w:evenVBand="0" w:oddHBand="0" w:evenHBand="0" w:firstRowFirstColumn="0" w:firstRowLastColumn="0" w:lastRowFirstColumn="0" w:lastRowLastColumn="0"/>
            <w:tcW w:w="2425" w:type="dxa"/>
          </w:tcPr>
          <w:p w14:paraId="33286CCA" w14:textId="77777777" w:rsidR="004C72A3" w:rsidRPr="004831AB" w:rsidRDefault="0068357B"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1</w:t>
            </w:r>
            <w:r w:rsidR="004C72A3" w:rsidRPr="004831AB">
              <w:rPr>
                <w:rFonts w:ascii="Times New Roman" w:hAnsi="Times New Roman" w:cs="Times New Roman"/>
                <w:b w:val="0"/>
                <w:sz w:val="24"/>
                <w:szCs w:val="24"/>
                <w:lang w:val="sr-Cyrl-CS"/>
              </w:rPr>
              <w:t>.</w:t>
            </w:r>
            <w:r w:rsidR="004C72A3" w:rsidRPr="004831AB">
              <w:rPr>
                <w:rFonts w:ascii="Times New Roman" w:hAnsi="Times New Roman" w:cs="Times New Roman"/>
                <w:b w:val="0"/>
                <w:sz w:val="24"/>
                <w:szCs w:val="24"/>
                <w:lang w:val="sr-Cyrl-CS"/>
              </w:rPr>
              <w:tab/>
              <w:t>Ефективност</w:t>
            </w:r>
          </w:p>
        </w:tc>
        <w:tc>
          <w:tcPr>
            <w:tcW w:w="2249" w:type="dxa"/>
          </w:tcPr>
          <w:p w14:paraId="30E240A0"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1</w:t>
            </w:r>
          </w:p>
        </w:tc>
        <w:tc>
          <w:tcPr>
            <w:tcW w:w="0" w:type="dxa"/>
          </w:tcPr>
          <w:p w14:paraId="72D5F949"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3</w:t>
            </w:r>
          </w:p>
        </w:tc>
        <w:tc>
          <w:tcPr>
            <w:tcW w:w="0" w:type="dxa"/>
          </w:tcPr>
          <w:p w14:paraId="15C96A72"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5</w:t>
            </w:r>
          </w:p>
        </w:tc>
      </w:tr>
      <w:tr w:rsidR="004C72A3" w:rsidRPr="004831AB" w14:paraId="15C1B744" w14:textId="77777777" w:rsidTr="00B55629">
        <w:tc>
          <w:tcPr>
            <w:cnfStyle w:val="001000000000" w:firstRow="0" w:lastRow="0" w:firstColumn="1" w:lastColumn="0" w:oddVBand="0" w:evenVBand="0" w:oddHBand="0" w:evenHBand="0" w:firstRowFirstColumn="0" w:firstRowLastColumn="0" w:lastRowFirstColumn="0" w:lastRowLastColumn="0"/>
            <w:tcW w:w="2425" w:type="dxa"/>
          </w:tcPr>
          <w:p w14:paraId="466FCEFB" w14:textId="77777777" w:rsidR="004C72A3" w:rsidRPr="004831AB" w:rsidRDefault="0068357B"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2</w:t>
            </w:r>
            <w:r w:rsidR="004C72A3" w:rsidRPr="004831AB">
              <w:rPr>
                <w:rFonts w:ascii="Times New Roman" w:hAnsi="Times New Roman" w:cs="Times New Roman"/>
                <w:b w:val="0"/>
                <w:sz w:val="24"/>
                <w:szCs w:val="24"/>
                <w:lang w:val="sr-Cyrl-CS"/>
              </w:rPr>
              <w:t>.</w:t>
            </w:r>
            <w:r w:rsidR="004C72A3" w:rsidRPr="004831AB">
              <w:rPr>
                <w:rFonts w:ascii="Times New Roman" w:hAnsi="Times New Roman" w:cs="Times New Roman"/>
                <w:b w:val="0"/>
                <w:sz w:val="24"/>
                <w:szCs w:val="24"/>
                <w:lang w:val="sr-Cyrl-CS"/>
              </w:rPr>
              <w:tab/>
              <w:t>Ефикасност</w:t>
            </w:r>
          </w:p>
        </w:tc>
        <w:tc>
          <w:tcPr>
            <w:tcW w:w="2249" w:type="dxa"/>
          </w:tcPr>
          <w:p w14:paraId="4A6450EB"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1</w:t>
            </w:r>
          </w:p>
        </w:tc>
        <w:tc>
          <w:tcPr>
            <w:tcW w:w="0" w:type="dxa"/>
          </w:tcPr>
          <w:p w14:paraId="05812A21"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2</w:t>
            </w:r>
          </w:p>
        </w:tc>
        <w:tc>
          <w:tcPr>
            <w:tcW w:w="0" w:type="dxa"/>
          </w:tcPr>
          <w:p w14:paraId="4739F6E6"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5</w:t>
            </w:r>
          </w:p>
        </w:tc>
      </w:tr>
      <w:tr w:rsidR="004C72A3" w:rsidRPr="004831AB" w14:paraId="4C13D28E" w14:textId="77777777" w:rsidTr="00B55629">
        <w:tc>
          <w:tcPr>
            <w:cnfStyle w:val="001000000000" w:firstRow="0" w:lastRow="0" w:firstColumn="1" w:lastColumn="0" w:oddVBand="0" w:evenVBand="0" w:oddHBand="0" w:evenHBand="0" w:firstRowFirstColumn="0" w:firstRowLastColumn="0" w:lastRowFirstColumn="0" w:lastRowLastColumn="0"/>
            <w:tcW w:w="2425" w:type="dxa"/>
          </w:tcPr>
          <w:p w14:paraId="43A059C9" w14:textId="77777777" w:rsidR="004C72A3" w:rsidRPr="004831AB" w:rsidRDefault="0068357B" w:rsidP="0068357B">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3</w:t>
            </w:r>
            <w:r w:rsidR="004C72A3" w:rsidRPr="004831AB">
              <w:rPr>
                <w:rFonts w:ascii="Times New Roman" w:hAnsi="Times New Roman" w:cs="Times New Roman"/>
                <w:b w:val="0"/>
                <w:sz w:val="24"/>
                <w:szCs w:val="24"/>
                <w:lang w:val="sr-Cyrl-CS"/>
              </w:rPr>
              <w:t>.</w:t>
            </w:r>
            <w:r w:rsidR="004C72A3" w:rsidRPr="004831AB">
              <w:rPr>
                <w:rFonts w:ascii="Times New Roman" w:hAnsi="Times New Roman" w:cs="Times New Roman"/>
                <w:b w:val="0"/>
                <w:sz w:val="24"/>
                <w:szCs w:val="24"/>
                <w:lang w:val="sr-Cyrl-CS"/>
              </w:rPr>
              <w:tab/>
              <w:t>Трошкови</w:t>
            </w:r>
          </w:p>
        </w:tc>
        <w:tc>
          <w:tcPr>
            <w:tcW w:w="2249" w:type="dxa"/>
          </w:tcPr>
          <w:p w14:paraId="79A142B1"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5</w:t>
            </w:r>
          </w:p>
        </w:tc>
        <w:tc>
          <w:tcPr>
            <w:tcW w:w="0" w:type="dxa"/>
          </w:tcPr>
          <w:p w14:paraId="3A8875DD"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3</w:t>
            </w:r>
          </w:p>
        </w:tc>
        <w:tc>
          <w:tcPr>
            <w:tcW w:w="0" w:type="dxa"/>
          </w:tcPr>
          <w:p w14:paraId="201E78FA"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1</w:t>
            </w:r>
          </w:p>
        </w:tc>
      </w:tr>
      <w:tr w:rsidR="004C72A3" w:rsidRPr="004831AB" w14:paraId="08AD5C11" w14:textId="77777777" w:rsidTr="00B55629">
        <w:tc>
          <w:tcPr>
            <w:cnfStyle w:val="001000000000" w:firstRow="0" w:lastRow="0" w:firstColumn="1" w:lastColumn="0" w:oddVBand="0" w:evenVBand="0" w:oddHBand="0" w:evenHBand="0" w:firstRowFirstColumn="0" w:firstRowLastColumn="0" w:lastRowFirstColumn="0" w:lastRowLastColumn="0"/>
            <w:tcW w:w="2425" w:type="dxa"/>
          </w:tcPr>
          <w:p w14:paraId="2F817338" w14:textId="77777777" w:rsidR="004C72A3" w:rsidRPr="004831AB" w:rsidRDefault="0068357B"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4</w:t>
            </w:r>
            <w:r w:rsidR="004C72A3" w:rsidRPr="004831AB">
              <w:rPr>
                <w:rFonts w:ascii="Times New Roman" w:hAnsi="Times New Roman" w:cs="Times New Roman"/>
                <w:b w:val="0"/>
                <w:sz w:val="24"/>
                <w:szCs w:val="24"/>
                <w:lang w:val="sr-Cyrl-CS"/>
              </w:rPr>
              <w:t>.</w:t>
            </w:r>
            <w:r w:rsidR="004C72A3" w:rsidRPr="004831AB">
              <w:rPr>
                <w:rFonts w:ascii="Times New Roman" w:hAnsi="Times New Roman" w:cs="Times New Roman"/>
                <w:b w:val="0"/>
                <w:sz w:val="24"/>
                <w:szCs w:val="24"/>
                <w:lang w:val="sr-Cyrl-CS"/>
              </w:rPr>
              <w:tab/>
              <w:t xml:space="preserve">Капацитет </w:t>
            </w:r>
          </w:p>
        </w:tc>
        <w:tc>
          <w:tcPr>
            <w:tcW w:w="2249" w:type="dxa"/>
          </w:tcPr>
          <w:p w14:paraId="142DF8D3"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5</w:t>
            </w:r>
          </w:p>
        </w:tc>
        <w:tc>
          <w:tcPr>
            <w:tcW w:w="0" w:type="dxa"/>
          </w:tcPr>
          <w:p w14:paraId="42AF6316"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4</w:t>
            </w:r>
          </w:p>
        </w:tc>
        <w:tc>
          <w:tcPr>
            <w:tcW w:w="0" w:type="dxa"/>
          </w:tcPr>
          <w:p w14:paraId="5D7911D1"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1</w:t>
            </w:r>
          </w:p>
        </w:tc>
      </w:tr>
      <w:tr w:rsidR="004C72A3" w:rsidRPr="004831AB" w14:paraId="2C18FC3C" w14:textId="77777777" w:rsidTr="00B55629">
        <w:tc>
          <w:tcPr>
            <w:cnfStyle w:val="001000000000" w:firstRow="0" w:lastRow="0" w:firstColumn="1" w:lastColumn="0" w:oddVBand="0" w:evenVBand="0" w:oddHBand="0" w:evenHBand="0" w:firstRowFirstColumn="0" w:firstRowLastColumn="0" w:lastRowFirstColumn="0" w:lastRowLastColumn="0"/>
            <w:tcW w:w="2425" w:type="dxa"/>
          </w:tcPr>
          <w:p w14:paraId="7DB1A32E" w14:textId="77777777" w:rsidR="004C72A3" w:rsidRPr="004831AB" w:rsidRDefault="0068357B"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5</w:t>
            </w:r>
            <w:r w:rsidR="004C72A3" w:rsidRPr="004831AB">
              <w:rPr>
                <w:rFonts w:ascii="Times New Roman" w:hAnsi="Times New Roman" w:cs="Times New Roman"/>
                <w:b w:val="0"/>
                <w:sz w:val="24"/>
                <w:szCs w:val="24"/>
                <w:lang w:val="sr-Cyrl-CS"/>
              </w:rPr>
              <w:t>.</w:t>
            </w:r>
            <w:r w:rsidR="004C72A3" w:rsidRPr="004831AB">
              <w:rPr>
                <w:rFonts w:ascii="Times New Roman" w:hAnsi="Times New Roman" w:cs="Times New Roman"/>
                <w:b w:val="0"/>
                <w:sz w:val="24"/>
                <w:szCs w:val="24"/>
                <w:lang w:val="sr-Cyrl-CS"/>
              </w:rPr>
              <w:tab/>
              <w:t>Одрживост</w:t>
            </w:r>
          </w:p>
        </w:tc>
        <w:tc>
          <w:tcPr>
            <w:tcW w:w="2249" w:type="dxa"/>
          </w:tcPr>
          <w:p w14:paraId="22CE25F5"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1</w:t>
            </w:r>
          </w:p>
        </w:tc>
        <w:tc>
          <w:tcPr>
            <w:tcW w:w="0" w:type="dxa"/>
          </w:tcPr>
          <w:p w14:paraId="5992E06C"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3</w:t>
            </w:r>
          </w:p>
        </w:tc>
        <w:tc>
          <w:tcPr>
            <w:tcW w:w="0" w:type="dxa"/>
          </w:tcPr>
          <w:p w14:paraId="72B886D1"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831AB">
              <w:rPr>
                <w:rFonts w:ascii="Times New Roman" w:hAnsi="Times New Roman" w:cs="Times New Roman"/>
                <w:sz w:val="24"/>
                <w:szCs w:val="24"/>
                <w:lang w:val="sr-Cyrl-CS"/>
              </w:rPr>
              <w:t>5</w:t>
            </w:r>
          </w:p>
        </w:tc>
      </w:tr>
      <w:tr w:rsidR="004C72A3" w:rsidRPr="004831AB" w14:paraId="55E28FCA" w14:textId="77777777" w:rsidTr="00B55629">
        <w:tc>
          <w:tcPr>
            <w:cnfStyle w:val="001000000000" w:firstRow="0" w:lastRow="0" w:firstColumn="1" w:lastColumn="0" w:oddVBand="0" w:evenVBand="0" w:oddHBand="0" w:evenHBand="0" w:firstRowFirstColumn="0" w:firstRowLastColumn="0" w:lastRowFirstColumn="0" w:lastRowLastColumn="0"/>
            <w:tcW w:w="2425" w:type="dxa"/>
            <w:shd w:val="clear" w:color="auto" w:fill="F2F2F2" w:themeFill="background1" w:themeFillShade="F2"/>
          </w:tcPr>
          <w:p w14:paraId="55914A76" w14:textId="77777777" w:rsidR="004C72A3" w:rsidRPr="004831AB" w:rsidRDefault="004C72A3" w:rsidP="00DF4ACC">
            <w:pPr>
              <w:rPr>
                <w:rFonts w:ascii="Times New Roman" w:hAnsi="Times New Roman" w:cs="Times New Roman"/>
                <w:b w:val="0"/>
                <w:sz w:val="24"/>
                <w:szCs w:val="24"/>
                <w:lang w:val="sr-Cyrl-CS"/>
              </w:rPr>
            </w:pPr>
            <w:r w:rsidRPr="004831AB">
              <w:rPr>
                <w:rFonts w:ascii="Times New Roman" w:hAnsi="Times New Roman" w:cs="Times New Roman"/>
                <w:b w:val="0"/>
                <w:sz w:val="24"/>
                <w:szCs w:val="24"/>
                <w:lang w:val="sr-Cyrl-CS"/>
              </w:rPr>
              <w:t>СВЕГА</w:t>
            </w:r>
          </w:p>
        </w:tc>
        <w:tc>
          <w:tcPr>
            <w:tcW w:w="2249" w:type="dxa"/>
            <w:shd w:val="clear" w:color="auto" w:fill="F2F2F2" w:themeFill="background1" w:themeFillShade="F2"/>
          </w:tcPr>
          <w:p w14:paraId="41E26157"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13</w:t>
            </w:r>
          </w:p>
        </w:tc>
        <w:tc>
          <w:tcPr>
            <w:tcW w:w="0" w:type="dxa"/>
            <w:shd w:val="clear" w:color="auto" w:fill="F2F2F2" w:themeFill="background1" w:themeFillShade="F2"/>
          </w:tcPr>
          <w:p w14:paraId="24BD2398"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15</w:t>
            </w:r>
          </w:p>
        </w:tc>
        <w:tc>
          <w:tcPr>
            <w:tcW w:w="0" w:type="dxa"/>
            <w:shd w:val="clear" w:color="auto" w:fill="F2F2F2" w:themeFill="background1" w:themeFillShade="F2"/>
          </w:tcPr>
          <w:p w14:paraId="070B41A8" w14:textId="77777777" w:rsidR="004C72A3" w:rsidRPr="004831AB" w:rsidRDefault="004C72A3" w:rsidP="00DF4A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17</w:t>
            </w:r>
          </w:p>
        </w:tc>
      </w:tr>
    </w:tbl>
    <w:p w14:paraId="6FB31657" w14:textId="7DF45426" w:rsidR="00B32193" w:rsidRPr="004831AB" w:rsidRDefault="004C72A3" w:rsidP="003459FD">
      <w:pPr>
        <w:spacing w:before="12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Након збрајања свих појединачних оцена, </w:t>
      </w:r>
      <w:r w:rsidRPr="004831AB">
        <w:rPr>
          <w:rFonts w:ascii="Times New Roman" w:hAnsi="Times New Roman" w:cs="Times New Roman"/>
          <w:bCs/>
          <w:sz w:val="24"/>
          <w:szCs w:val="24"/>
          <w:lang w:val="sr-Cyrl-CS"/>
        </w:rPr>
        <w:t>највишу</w:t>
      </w:r>
      <w:r w:rsidR="001F0525" w:rsidRPr="004831AB">
        <w:rPr>
          <w:rFonts w:ascii="Times New Roman" w:hAnsi="Times New Roman" w:cs="Times New Roman"/>
          <w:bCs/>
          <w:sz w:val="24"/>
          <w:szCs w:val="24"/>
          <w:lang w:val="sr-Cyrl-CS"/>
        </w:rPr>
        <w:t xml:space="preserve"> укупну оцену је добила опција 3,</w:t>
      </w:r>
      <w:r w:rsidRPr="004831AB">
        <w:rPr>
          <w:rFonts w:ascii="Times New Roman" w:hAnsi="Times New Roman" w:cs="Times New Roman"/>
          <w:bCs/>
          <w:sz w:val="24"/>
          <w:szCs w:val="24"/>
          <w:lang w:val="sr-Cyrl-CS"/>
        </w:rPr>
        <w:t xml:space="preserve"> </w:t>
      </w:r>
      <w:r w:rsidR="001F0525" w:rsidRPr="004831AB">
        <w:rPr>
          <w:rFonts w:ascii="Times New Roman" w:hAnsi="Times New Roman" w:cs="Times New Roman"/>
          <w:bCs/>
          <w:sz w:val="24"/>
          <w:szCs w:val="24"/>
          <w:lang w:val="sr-Cyrl-CS"/>
        </w:rPr>
        <w:t>о</w:t>
      </w:r>
      <w:r w:rsidR="00CB4E40" w:rsidRPr="004831AB">
        <w:rPr>
          <w:rFonts w:ascii="Times New Roman" w:hAnsi="Times New Roman" w:cs="Times New Roman"/>
          <w:bCs/>
          <w:sz w:val="24"/>
          <w:szCs w:val="24"/>
          <w:lang w:val="sr-Cyrl-CS"/>
        </w:rPr>
        <w:t>пција заснована на међусекторском приступу</w:t>
      </w:r>
      <w:r w:rsidRPr="004831AB">
        <w:rPr>
          <w:rFonts w:ascii="Times New Roman" w:hAnsi="Times New Roman" w:cs="Times New Roman"/>
          <w:sz w:val="24"/>
          <w:szCs w:val="24"/>
          <w:lang w:val="sr-Cyrl-CS"/>
        </w:rPr>
        <w:t xml:space="preserve">. Уједно, она је идентификована као најпожељнија по критеријумима ефективности, ефикасности и одрживости. </w:t>
      </w:r>
    </w:p>
    <w:p w14:paraId="446CFF44" w14:textId="77777777" w:rsidR="0053695B" w:rsidRPr="004831AB" w:rsidRDefault="00BC105B" w:rsidP="003459FD">
      <w:pPr>
        <w:pStyle w:val="Heading1"/>
        <w:jc w:val="center"/>
        <w:rPr>
          <w:b w:val="0"/>
          <w:sz w:val="24"/>
          <w:szCs w:val="24"/>
          <w:lang w:val="sr-Cyrl-CS"/>
        </w:rPr>
      </w:pPr>
      <w:r w:rsidRPr="004831AB">
        <w:rPr>
          <w:b w:val="0"/>
          <w:sz w:val="24"/>
          <w:szCs w:val="24"/>
          <w:lang w:val="sr-Cyrl-CS"/>
        </w:rPr>
        <w:t>Мере за остваривање циља и анализа њихових ефеката</w:t>
      </w:r>
    </w:p>
    <w:p w14:paraId="2489B0B1" w14:textId="77777777" w:rsidR="00CE622E" w:rsidRPr="004831AB" w:rsidRDefault="00837526" w:rsidP="00ED105A">
      <w:pPr>
        <w:pStyle w:val="Heading2"/>
        <w:jc w:val="center"/>
        <w:rPr>
          <w:b w:val="0"/>
          <w:lang w:val="sr-Cyrl-CS"/>
        </w:rPr>
      </w:pPr>
      <w:r w:rsidRPr="004831AB">
        <w:rPr>
          <w:b w:val="0"/>
          <w:lang w:val="sr-Cyrl-CS"/>
        </w:rPr>
        <w:t xml:space="preserve">Посебан циљ I: Предузетнички екосистем </w:t>
      </w:r>
      <w:r w:rsidR="00B63419" w:rsidRPr="004831AB">
        <w:rPr>
          <w:b w:val="0"/>
          <w:lang w:val="sr-Cyrl-CS"/>
        </w:rPr>
        <w:t>–</w:t>
      </w:r>
      <w:r w:rsidRPr="004831AB">
        <w:rPr>
          <w:b w:val="0"/>
          <w:lang w:val="sr-Cyrl-CS"/>
        </w:rPr>
        <w:t xml:space="preserve"> </w:t>
      </w:r>
      <w:r w:rsidR="00B63419" w:rsidRPr="004831AB">
        <w:rPr>
          <w:b w:val="0"/>
          <w:lang w:val="sr-Cyrl-CS"/>
        </w:rPr>
        <w:t>Унапређено оперативно окружење и смањене препреке за пословање МСПП</w:t>
      </w:r>
    </w:p>
    <w:p w14:paraId="514C39BC" w14:textId="77777777" w:rsidR="00CE622E" w:rsidRPr="004831AB" w:rsidRDefault="00CE622E" w:rsidP="00AA2D3E">
      <w:pPr>
        <w:pStyle w:val="Heading3"/>
        <w:rPr>
          <w:rFonts w:eastAsia="Times New Roman" w:cs="Times New Roman"/>
          <w:bCs/>
          <w:szCs w:val="26"/>
          <w:lang w:val="sr-Cyrl-CS"/>
        </w:rPr>
      </w:pPr>
      <w:r w:rsidRPr="004831AB">
        <w:rPr>
          <w:rStyle w:val="Heading3Char"/>
          <w:bCs/>
          <w:lang w:val="sr-Cyrl-CS"/>
        </w:rPr>
        <w:t xml:space="preserve">Мера 1.1: </w:t>
      </w:r>
      <w:r w:rsidR="00CD3457" w:rsidRPr="004831AB">
        <w:rPr>
          <w:rStyle w:val="Heading3Char"/>
          <w:bCs/>
          <w:lang w:val="sr-Cyrl-CS"/>
        </w:rPr>
        <w:t>Унапређење општег правног</w:t>
      </w:r>
      <w:r w:rsidR="00D71564" w:rsidRPr="004831AB">
        <w:rPr>
          <w:rStyle w:val="Heading3Char"/>
          <w:bCs/>
          <w:lang w:val="sr-Cyrl-CS"/>
        </w:rPr>
        <w:t xml:space="preserve">, </w:t>
      </w:r>
      <w:r w:rsidR="00CD3457" w:rsidRPr="004831AB">
        <w:rPr>
          <w:rStyle w:val="Heading3Char"/>
          <w:bCs/>
          <w:lang w:val="sr-Cyrl-CS"/>
        </w:rPr>
        <w:t xml:space="preserve">административног </w:t>
      </w:r>
      <w:r w:rsidR="00D71564" w:rsidRPr="004831AB">
        <w:rPr>
          <w:rStyle w:val="Heading3Char"/>
          <w:bCs/>
          <w:lang w:val="sr-Cyrl-CS"/>
        </w:rPr>
        <w:t xml:space="preserve">и </w:t>
      </w:r>
      <w:r w:rsidR="00CD3457" w:rsidRPr="004831AB">
        <w:rPr>
          <w:rStyle w:val="Heading3Char"/>
          <w:bCs/>
          <w:lang w:val="sr-Cyrl-CS"/>
        </w:rPr>
        <w:t xml:space="preserve">пореског </w:t>
      </w:r>
      <w:r w:rsidR="00D71564" w:rsidRPr="004831AB">
        <w:rPr>
          <w:rStyle w:val="Heading3Char"/>
          <w:bCs/>
          <w:lang w:val="sr-Cyrl-CS"/>
        </w:rPr>
        <w:t>оквир</w:t>
      </w:r>
      <w:r w:rsidR="00CD3457" w:rsidRPr="004831AB">
        <w:rPr>
          <w:rStyle w:val="Heading3Char"/>
          <w:bCs/>
          <w:lang w:val="sr-Cyrl-CS"/>
        </w:rPr>
        <w:t>а</w:t>
      </w:r>
      <w:r w:rsidR="00D71564" w:rsidRPr="004831AB">
        <w:rPr>
          <w:rStyle w:val="Heading3Char"/>
          <w:bCs/>
          <w:lang w:val="sr-Cyrl-CS"/>
        </w:rPr>
        <w:t xml:space="preserve"> </w:t>
      </w:r>
      <w:r w:rsidR="00B960C4" w:rsidRPr="004831AB">
        <w:rPr>
          <w:rStyle w:val="Heading3Char"/>
          <w:bCs/>
          <w:lang w:val="sr-Cyrl-CS"/>
        </w:rPr>
        <w:t xml:space="preserve">за отпочињање и развој </w:t>
      </w:r>
      <w:r w:rsidR="00D71564" w:rsidRPr="004831AB">
        <w:rPr>
          <w:rStyle w:val="Heading3Char"/>
          <w:bCs/>
          <w:lang w:val="sr-Cyrl-CS"/>
        </w:rPr>
        <w:t>пословања и „друг</w:t>
      </w:r>
      <w:r w:rsidR="00B960C4" w:rsidRPr="004831AB">
        <w:rPr>
          <w:rStyle w:val="Heading3Char"/>
          <w:bCs/>
          <w:lang w:val="sr-Cyrl-CS"/>
        </w:rPr>
        <w:t>у</w:t>
      </w:r>
      <w:r w:rsidR="00D71564" w:rsidRPr="004831AB">
        <w:rPr>
          <w:rStyle w:val="Heading3Char"/>
          <w:bCs/>
          <w:lang w:val="sr-Cyrl-CS"/>
        </w:rPr>
        <w:t xml:space="preserve"> шанс</w:t>
      </w:r>
      <w:r w:rsidR="00B960C4" w:rsidRPr="004831AB">
        <w:rPr>
          <w:rStyle w:val="Heading3Char"/>
          <w:bCs/>
          <w:lang w:val="sr-Cyrl-CS"/>
        </w:rPr>
        <w:t>у</w:t>
      </w:r>
      <w:r w:rsidR="007E5D5C" w:rsidRPr="004831AB">
        <w:rPr>
          <w:rStyle w:val="Heading3Char"/>
          <w:bCs/>
          <w:lang w:val="sr-Cyrl-CS"/>
        </w:rPr>
        <w:t>”</w:t>
      </w:r>
      <w:r w:rsidR="00D71564" w:rsidRPr="004831AB">
        <w:rPr>
          <w:rStyle w:val="Heading3Char"/>
          <w:bCs/>
          <w:lang w:val="sr-Cyrl-CS"/>
        </w:rPr>
        <w:t xml:space="preserve"> за МСПП</w:t>
      </w:r>
      <w:r w:rsidR="00D71564" w:rsidRPr="004831AB">
        <w:rPr>
          <w:rFonts w:ascii="Calibri" w:eastAsia="Calibri" w:hAnsi="Calibri" w:cs="Times New Roman"/>
          <w:bCs/>
          <w:lang w:val="sr-Cyrl-CS"/>
        </w:rPr>
        <w:t xml:space="preserve"> </w:t>
      </w:r>
    </w:p>
    <w:tbl>
      <w:tblPr>
        <w:tblStyle w:val="TableGrid"/>
        <w:tblW w:w="0" w:type="auto"/>
        <w:tblLook w:val="04A0" w:firstRow="1" w:lastRow="0" w:firstColumn="1" w:lastColumn="0" w:noHBand="0" w:noVBand="1"/>
      </w:tblPr>
      <w:tblGrid>
        <w:gridCol w:w="1902"/>
        <w:gridCol w:w="3409"/>
        <w:gridCol w:w="71"/>
        <w:gridCol w:w="1658"/>
        <w:gridCol w:w="1155"/>
        <w:gridCol w:w="1155"/>
      </w:tblGrid>
      <w:tr w:rsidR="00CD3457" w:rsidRPr="004831AB" w14:paraId="1571453E" w14:textId="77777777" w:rsidTr="001F3BDC">
        <w:tc>
          <w:tcPr>
            <w:tcW w:w="1902" w:type="dxa"/>
          </w:tcPr>
          <w:p w14:paraId="744FCD6A" w14:textId="77777777" w:rsidR="00CD3457" w:rsidRPr="004831AB" w:rsidRDefault="00CD3457"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480" w:type="dxa"/>
            <w:gridSpan w:val="2"/>
          </w:tcPr>
          <w:p w14:paraId="34885FD5" w14:textId="77777777" w:rsidR="00CD3457" w:rsidRPr="004831AB" w:rsidRDefault="00CD345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Регулаторна</w:t>
            </w:r>
          </w:p>
        </w:tc>
        <w:tc>
          <w:tcPr>
            <w:tcW w:w="1658" w:type="dxa"/>
          </w:tcPr>
          <w:p w14:paraId="6ED13FD3" w14:textId="77777777" w:rsidR="00CD3457" w:rsidRPr="004831AB" w:rsidRDefault="00CD345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2310" w:type="dxa"/>
            <w:gridSpan w:val="2"/>
          </w:tcPr>
          <w:p w14:paraId="6C8A6C7F" w14:textId="77777777" w:rsidR="00CD3457" w:rsidRPr="004831AB" w:rsidRDefault="00CD3457" w:rsidP="00CE622E">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0B256E" w:rsidRPr="004831AB" w14:paraId="2DFBA981" w14:textId="77777777" w:rsidTr="000B256E">
        <w:tc>
          <w:tcPr>
            <w:tcW w:w="1902" w:type="dxa"/>
          </w:tcPr>
          <w:p w14:paraId="357A0DCD" w14:textId="77777777" w:rsidR="000B256E" w:rsidRPr="004831AB" w:rsidRDefault="000B256E" w:rsidP="000B256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Индикатори</w:t>
            </w:r>
          </w:p>
        </w:tc>
        <w:tc>
          <w:tcPr>
            <w:tcW w:w="3409" w:type="dxa"/>
          </w:tcPr>
          <w:p w14:paraId="267046BE" w14:textId="77777777" w:rsidR="000B256E" w:rsidRPr="004831AB" w:rsidRDefault="000B256E" w:rsidP="000B256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729" w:type="dxa"/>
            <w:gridSpan w:val="2"/>
          </w:tcPr>
          <w:p w14:paraId="3C56B5A0" w14:textId="77777777" w:rsidR="000B256E" w:rsidRPr="004831AB" w:rsidRDefault="000B256E" w:rsidP="000B256E">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155" w:type="dxa"/>
          </w:tcPr>
          <w:p w14:paraId="6582835B" w14:textId="77777777" w:rsidR="000B256E" w:rsidRPr="004831AB" w:rsidRDefault="000B256E" w:rsidP="000B256E">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155" w:type="dxa"/>
          </w:tcPr>
          <w:p w14:paraId="5AF617CB" w14:textId="77777777" w:rsidR="000B256E" w:rsidRPr="004831AB" w:rsidRDefault="000B256E" w:rsidP="000B256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0B256E" w:rsidRPr="004831AB" w14:paraId="4872E959" w14:textId="77777777" w:rsidTr="000B256E">
        <w:tc>
          <w:tcPr>
            <w:tcW w:w="1902" w:type="dxa"/>
          </w:tcPr>
          <w:p w14:paraId="2AA27CC7" w14:textId="77777777" w:rsidR="000B256E" w:rsidRPr="004831AB" w:rsidRDefault="000B256E"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409" w:type="dxa"/>
          </w:tcPr>
          <w:p w14:paraId="369999A3" w14:textId="77777777" w:rsidR="000B256E" w:rsidRPr="004831AB" w:rsidRDefault="000B256E" w:rsidP="00CE622E">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Оптерећење које намеће регулатива (</w:t>
            </w:r>
            <w:r w:rsidRPr="004831AB">
              <w:rPr>
                <w:rFonts w:ascii="Times New Roman" w:eastAsia="Calibri" w:hAnsi="Times New Roman" w:cs="Times New Roman"/>
                <w:i/>
                <w:iCs/>
                <w:lang w:val="sr-Cyrl-CS"/>
              </w:rPr>
              <w:t>Burden of Government Regulation</w:t>
            </w:r>
            <w:r w:rsidRPr="004831AB">
              <w:rPr>
                <w:rFonts w:ascii="Times New Roman" w:eastAsia="Calibri" w:hAnsi="Times New Roman" w:cs="Times New Roman"/>
                <w:lang w:val="sr-Cyrl-CS"/>
              </w:rPr>
              <w:t>)</w:t>
            </w:r>
          </w:p>
        </w:tc>
        <w:tc>
          <w:tcPr>
            <w:tcW w:w="1729" w:type="dxa"/>
            <w:gridSpan w:val="2"/>
          </w:tcPr>
          <w:p w14:paraId="3DA7D6A9" w14:textId="77777777" w:rsidR="000B256E" w:rsidRPr="004831AB" w:rsidRDefault="000B256E"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Индекс глобалне конкурентности (</w:t>
            </w:r>
            <w:r w:rsidRPr="004831AB">
              <w:rPr>
                <w:rFonts w:ascii="Times New Roman" w:eastAsia="Calibri" w:hAnsi="Times New Roman" w:cs="Times New Roman"/>
                <w:i/>
                <w:iCs/>
                <w:lang w:val="sr-Cyrl-CS"/>
              </w:rPr>
              <w:t>Global Competitiveness Index</w:t>
            </w:r>
            <w:r w:rsidRPr="004831AB">
              <w:rPr>
                <w:rFonts w:ascii="Times New Roman" w:eastAsia="Calibri" w:hAnsi="Times New Roman" w:cs="Times New Roman"/>
                <w:lang w:val="sr-Cyrl-CS"/>
              </w:rPr>
              <w:t xml:space="preserve">) </w:t>
            </w:r>
          </w:p>
        </w:tc>
        <w:tc>
          <w:tcPr>
            <w:tcW w:w="1155" w:type="dxa"/>
          </w:tcPr>
          <w:p w14:paraId="6AE2E011" w14:textId="77777777" w:rsidR="000B256E" w:rsidRPr="004831AB" w:rsidRDefault="00C85D5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95</w:t>
            </w:r>
            <w:r w:rsidR="007E52B2" w:rsidRPr="004831AB">
              <w:rPr>
                <w:rFonts w:ascii="Times New Roman" w:eastAsia="Calibri" w:hAnsi="Times New Roman" w:cs="Times New Roman"/>
                <w:lang w:val="sr-Cyrl-CS"/>
              </w:rPr>
              <w:t xml:space="preserve"> (</w:t>
            </w:r>
            <w:hyperlink r:id="rId17" w:history="1">
              <w:r w:rsidR="007E52B2" w:rsidRPr="004831AB">
                <w:rPr>
                  <w:rStyle w:val="Hyperlink"/>
                  <w:rFonts w:ascii="Times New Roman" w:eastAsia="Calibri" w:hAnsi="Times New Roman" w:cs="Times New Roman"/>
                  <w:color w:val="auto"/>
                  <w:u w:val="none"/>
                  <w:lang w:val="sr-Cyrl-CS"/>
                </w:rPr>
                <w:t>201</w:t>
              </w:r>
              <w:r w:rsidRPr="004831AB">
                <w:rPr>
                  <w:rStyle w:val="Hyperlink"/>
                  <w:rFonts w:ascii="Times New Roman" w:eastAsia="Calibri" w:hAnsi="Times New Roman" w:cs="Times New Roman"/>
                  <w:color w:val="auto"/>
                  <w:u w:val="none"/>
                  <w:lang w:val="sr-Cyrl-CS"/>
                </w:rPr>
                <w:t>9</w:t>
              </w:r>
            </w:hyperlink>
            <w:r w:rsidR="007E52B2" w:rsidRPr="004831AB">
              <w:rPr>
                <w:rFonts w:ascii="Times New Roman" w:eastAsia="Calibri" w:hAnsi="Times New Roman" w:cs="Times New Roman"/>
                <w:lang w:val="sr-Cyrl-CS"/>
              </w:rPr>
              <w:t>)</w:t>
            </w:r>
          </w:p>
        </w:tc>
        <w:tc>
          <w:tcPr>
            <w:tcW w:w="1155" w:type="dxa"/>
          </w:tcPr>
          <w:p w14:paraId="1CBAE1BE" w14:textId="77777777" w:rsidR="000B256E" w:rsidRPr="004831AB" w:rsidRDefault="00C85D5B" w:rsidP="00CE622E">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 xml:space="preserve">90 </w:t>
            </w:r>
            <w:r w:rsidR="007E52B2" w:rsidRPr="004831AB">
              <w:rPr>
                <w:rFonts w:ascii="Times New Roman" w:eastAsia="Calibri" w:hAnsi="Times New Roman" w:cs="Times New Roman"/>
                <w:lang w:val="sr-Cyrl-CS"/>
              </w:rPr>
              <w:t xml:space="preserve"> (2027)</w:t>
            </w:r>
          </w:p>
        </w:tc>
      </w:tr>
      <w:tr w:rsidR="00CE622E" w:rsidRPr="004831AB" w14:paraId="74BF2AC4" w14:textId="77777777" w:rsidTr="000B256E">
        <w:tc>
          <w:tcPr>
            <w:tcW w:w="1902" w:type="dxa"/>
          </w:tcPr>
          <w:p w14:paraId="7B6EE56D" w14:textId="77777777" w:rsidR="00CE622E" w:rsidRPr="004831AB" w:rsidRDefault="00CE622E"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448" w:type="dxa"/>
            <w:gridSpan w:val="5"/>
          </w:tcPr>
          <w:p w14:paraId="68648E97" w14:textId="77777777" w:rsidR="000338A0" w:rsidRPr="004831AB" w:rsidRDefault="00A15091" w:rsidP="00237903">
            <w:pPr>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Правни и оперативни оквир у ком привредни субјекти послују и са којим морају да се усагласе у својим свакодневним пословним активностима, може да креира значајне препреке и отежа им или успори пословање и наметне додатне трошкове. У протеклом периоду, значајан напредак је направљен у смеру олакшавања пословања МСПП у Републици Србији. Нарочито је оснивање привредних субјеката олакшано и поједностављено, док се кроз е-услуге јавне управе значајно смањују трошкови и време потребно за усаглашавање са прописима.  Циљ ове мере је даље унапређење регулаторног и </w:t>
            </w:r>
            <w:r w:rsidR="0061011A" w:rsidRPr="004831AB">
              <w:rPr>
                <w:rFonts w:ascii="Times New Roman" w:eastAsia="Calibri" w:hAnsi="Times New Roman" w:cs="Times New Roman"/>
                <w:lang w:val="sr-Cyrl-CS"/>
              </w:rPr>
              <w:t>административног</w:t>
            </w:r>
            <w:r w:rsidRPr="004831AB">
              <w:rPr>
                <w:rFonts w:ascii="Times New Roman" w:eastAsia="Calibri" w:hAnsi="Times New Roman" w:cs="Times New Roman"/>
                <w:lang w:val="sr-Cyrl-CS"/>
              </w:rPr>
              <w:t xml:space="preserve"> оквира за отпочињање и свакодневно пословање МСПП, олакшавање затварања бизниса и промоција </w:t>
            </w:r>
            <w:r w:rsidR="00E5499D" w:rsidRPr="004831AB">
              <w:rPr>
                <w:rFonts w:ascii="Times New Roman" w:hAnsi="Times New Roman" w:cs="Times New Roman"/>
                <w:sz w:val="24"/>
                <w:szCs w:val="24"/>
                <w:lang w:val="sr-Cyrl-CS"/>
              </w:rPr>
              <w:t>,,</w:t>
            </w:r>
            <w:r w:rsidRPr="004831AB">
              <w:rPr>
                <w:rFonts w:ascii="Times New Roman" w:eastAsia="Calibri" w:hAnsi="Times New Roman" w:cs="Times New Roman"/>
                <w:lang w:val="sr-Cyrl-CS"/>
              </w:rPr>
              <w:t>друге шансе</w:t>
            </w:r>
            <w:r w:rsidR="00E5499D" w:rsidRPr="004831AB">
              <w:rPr>
                <w:rFonts w:ascii="Times New Roman" w:hAnsi="Times New Roman" w:cs="Times New Roman"/>
                <w:sz w:val="24"/>
                <w:szCs w:val="24"/>
                <w:lang w:val="sr-Cyrl-CS"/>
              </w:rPr>
              <w:t>”</w:t>
            </w:r>
            <w:r w:rsidRPr="004831AB">
              <w:rPr>
                <w:rFonts w:ascii="Times New Roman" w:eastAsia="Calibri" w:hAnsi="Times New Roman" w:cs="Times New Roman"/>
                <w:lang w:val="sr-Cyrl-CS"/>
              </w:rPr>
              <w:t>, као и оптимизација пореских и непореских захвата ка сектору МСПП</w:t>
            </w:r>
            <w:r w:rsidR="0061011A" w:rsidRPr="004831AB">
              <w:rPr>
                <w:rFonts w:ascii="Times New Roman" w:eastAsia="Calibri" w:hAnsi="Times New Roman" w:cs="Times New Roman"/>
                <w:lang w:val="sr-Cyrl-CS"/>
              </w:rPr>
              <w:t xml:space="preserve">, доношење Закона о подстицању развоја предузетништва којим ће се на системски начин уредити најважнија питања и створити услов за даљи развој ове области. </w:t>
            </w:r>
            <w:r w:rsidRPr="004831AB">
              <w:rPr>
                <w:rFonts w:ascii="Times New Roman" w:eastAsia="Calibri" w:hAnsi="Times New Roman" w:cs="Times New Roman"/>
                <w:lang w:val="sr-Cyrl-CS"/>
              </w:rPr>
              <w:t xml:space="preserve">Мера обухвата </w:t>
            </w:r>
            <w:r w:rsidR="0061011A" w:rsidRPr="004831AB">
              <w:rPr>
                <w:rFonts w:ascii="Times New Roman" w:eastAsia="Calibri" w:hAnsi="Times New Roman" w:cs="Times New Roman"/>
                <w:lang w:val="sr-Cyrl-CS"/>
              </w:rPr>
              <w:t xml:space="preserve">и </w:t>
            </w:r>
            <w:r w:rsidRPr="004831AB">
              <w:rPr>
                <w:rFonts w:ascii="Times New Roman" w:eastAsia="Calibri" w:hAnsi="Times New Roman" w:cs="Times New Roman"/>
                <w:lang w:val="sr-Cyrl-CS"/>
              </w:rPr>
              <w:t>унапређење положаја жена предузетни</w:t>
            </w:r>
            <w:r w:rsidR="0061011A" w:rsidRPr="004831AB">
              <w:rPr>
                <w:rFonts w:ascii="Times New Roman" w:eastAsia="Calibri" w:hAnsi="Times New Roman" w:cs="Times New Roman"/>
                <w:lang w:val="sr-Cyrl-CS"/>
              </w:rPr>
              <w:t>ц</w:t>
            </w:r>
            <w:r w:rsidRPr="004831AB">
              <w:rPr>
                <w:rFonts w:ascii="Times New Roman" w:eastAsia="Calibri" w:hAnsi="Times New Roman" w:cs="Times New Roman"/>
                <w:lang w:val="sr-Cyrl-CS"/>
              </w:rPr>
              <w:t>а</w:t>
            </w:r>
            <w:r w:rsidR="0061011A" w:rsidRPr="004831AB">
              <w:rPr>
                <w:rFonts w:ascii="Times New Roman" w:eastAsia="Calibri" w:hAnsi="Times New Roman" w:cs="Times New Roman"/>
                <w:lang w:val="sr-Cyrl-CS"/>
              </w:rPr>
              <w:t xml:space="preserve"> и решавање њихових најважнијих питања.</w:t>
            </w:r>
            <w:r w:rsidRPr="004831AB">
              <w:rPr>
                <w:rFonts w:ascii="Times New Roman" w:eastAsia="Calibri" w:hAnsi="Times New Roman" w:cs="Times New Roman"/>
                <w:lang w:val="sr-Cyrl-CS"/>
              </w:rPr>
              <w:t xml:space="preserve"> Кроз редован дијалог са МСПП, а у складу са принципом </w:t>
            </w:r>
            <w:r w:rsidR="00E5499D" w:rsidRPr="004831AB">
              <w:rPr>
                <w:rFonts w:ascii="Times New Roman" w:hAnsi="Times New Roman" w:cs="Times New Roman"/>
                <w:sz w:val="24"/>
                <w:szCs w:val="24"/>
                <w:lang w:val="sr-Cyrl-CS"/>
              </w:rPr>
              <w:t>,,</w:t>
            </w:r>
            <w:r w:rsidRPr="004831AB">
              <w:rPr>
                <w:rFonts w:ascii="Times New Roman" w:eastAsia="Calibri" w:hAnsi="Times New Roman" w:cs="Times New Roman"/>
                <w:lang w:val="sr-Cyrl-CS"/>
              </w:rPr>
              <w:t>Мислити најпре о малима</w:t>
            </w:r>
            <w:r w:rsidR="00E5499D" w:rsidRPr="004831AB">
              <w:rPr>
                <w:rFonts w:ascii="Times New Roman" w:hAnsi="Times New Roman" w:cs="Times New Roman"/>
                <w:sz w:val="24"/>
                <w:szCs w:val="24"/>
                <w:lang w:val="sr-Cyrl-CS"/>
              </w:rPr>
              <w:t>”</w:t>
            </w:r>
            <w:r w:rsidRPr="004831AB">
              <w:rPr>
                <w:rFonts w:ascii="Times New Roman" w:eastAsia="Calibri" w:hAnsi="Times New Roman" w:cs="Times New Roman"/>
                <w:lang w:val="sr-Cyrl-CS"/>
              </w:rPr>
              <w:t xml:space="preserve"> биће идентификоване њихове потребе и приоритетне области које ће довести до смањења регулаторних и административних препрека пословању.</w:t>
            </w:r>
          </w:p>
        </w:tc>
      </w:tr>
      <w:tr w:rsidR="00CE622E" w:rsidRPr="004831AB" w14:paraId="796C6561" w14:textId="77777777" w:rsidTr="000B256E">
        <w:tc>
          <w:tcPr>
            <w:tcW w:w="1902" w:type="dxa"/>
          </w:tcPr>
          <w:p w14:paraId="64D8A154" w14:textId="77777777" w:rsidR="00CE622E" w:rsidRPr="004831AB" w:rsidRDefault="00CE622E"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448" w:type="dxa"/>
            <w:gridSpan w:val="5"/>
          </w:tcPr>
          <w:p w14:paraId="65B204BB" w14:textId="4A974F01" w:rsidR="00CE622E" w:rsidRPr="004831AB" w:rsidRDefault="00560ED8" w:rsidP="00560ED8">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Реализацијом ове мере се унапређује опште окружење у ком сектор МСПП послује</w:t>
            </w:r>
            <w:r w:rsidR="00ED105A"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 xml:space="preserve"> и то превасходно кроз </w:t>
            </w:r>
            <w:r w:rsidR="0061011A" w:rsidRPr="004831AB">
              <w:rPr>
                <w:rFonts w:ascii="Times New Roman" w:eastAsia="Calibri" w:hAnsi="Times New Roman" w:cs="Times New Roman"/>
                <w:lang w:val="sr-Cyrl-CS"/>
              </w:rPr>
              <w:t>уклањање административних препрека и смањење трошкова пословања идентификованих кроз стални дијалог са представницима МСПП.</w:t>
            </w:r>
          </w:p>
        </w:tc>
      </w:tr>
    </w:tbl>
    <w:p w14:paraId="4E7A2636" w14:textId="77777777" w:rsidR="00CE622E" w:rsidRPr="004831AB" w:rsidRDefault="00CE622E" w:rsidP="00CE622E">
      <w:pPr>
        <w:rPr>
          <w:rFonts w:ascii="Times New Roman" w:eastAsia="Calibri" w:hAnsi="Times New Roman" w:cs="Times New Roman"/>
          <w:lang w:val="sr-Cyrl-CS"/>
        </w:rPr>
      </w:pPr>
    </w:p>
    <w:p w14:paraId="3F18B5B7" w14:textId="77777777" w:rsidR="00CE622E" w:rsidRPr="004831AB" w:rsidRDefault="00CE622E" w:rsidP="00CE622E">
      <w:pPr>
        <w:rPr>
          <w:rFonts w:ascii="Times New Roman" w:eastAsia="Calibri" w:hAnsi="Times New Roman" w:cs="Times New Roman"/>
          <w:lang w:val="sr-Cyrl-CS"/>
        </w:rPr>
      </w:pPr>
    </w:p>
    <w:p w14:paraId="32000DFD" w14:textId="77777777" w:rsidR="00CE622E" w:rsidRPr="004831AB" w:rsidRDefault="00CE622E">
      <w:pPr>
        <w:pStyle w:val="Heading3"/>
        <w:rPr>
          <w:rFonts w:eastAsia="Times New Roman"/>
          <w:bCs/>
          <w:lang w:val="sr-Cyrl-CS"/>
        </w:rPr>
      </w:pPr>
      <w:r w:rsidRPr="004831AB">
        <w:rPr>
          <w:bCs/>
          <w:lang w:val="sr-Cyrl-CS"/>
        </w:rPr>
        <w:t>Мера 1.</w:t>
      </w:r>
      <w:r w:rsidR="00992F2B" w:rsidRPr="004831AB">
        <w:rPr>
          <w:bCs/>
          <w:lang w:val="sr-Cyrl-CS"/>
        </w:rPr>
        <w:t>2</w:t>
      </w:r>
      <w:r w:rsidRPr="004831AB">
        <w:rPr>
          <w:bCs/>
          <w:lang w:val="sr-Cyrl-CS"/>
        </w:rPr>
        <w:t xml:space="preserve">: </w:t>
      </w:r>
      <w:bookmarkStart w:id="10" w:name="_Hlk120199360"/>
      <w:r w:rsidR="00D71564" w:rsidRPr="004831AB">
        <w:rPr>
          <w:bCs/>
          <w:lang w:val="sr-Cyrl-CS"/>
        </w:rPr>
        <w:t>Унапређе</w:t>
      </w:r>
      <w:r w:rsidR="0097626E" w:rsidRPr="004831AB">
        <w:rPr>
          <w:bCs/>
          <w:lang w:val="sr-Cyrl-CS"/>
        </w:rPr>
        <w:t>ње</w:t>
      </w:r>
      <w:r w:rsidR="00D71564" w:rsidRPr="004831AB">
        <w:rPr>
          <w:bCs/>
          <w:lang w:val="sr-Cyrl-CS"/>
        </w:rPr>
        <w:t xml:space="preserve"> приступ</w:t>
      </w:r>
      <w:r w:rsidR="0097626E" w:rsidRPr="004831AB">
        <w:rPr>
          <w:bCs/>
          <w:lang w:val="sr-Cyrl-CS"/>
        </w:rPr>
        <w:t>а</w:t>
      </w:r>
      <w:r w:rsidR="00D71564" w:rsidRPr="004831AB">
        <w:rPr>
          <w:bCs/>
          <w:lang w:val="sr-Cyrl-CS"/>
        </w:rPr>
        <w:t xml:space="preserve"> МСПП </w:t>
      </w:r>
      <w:r w:rsidR="000338A0" w:rsidRPr="004831AB">
        <w:rPr>
          <w:bCs/>
          <w:lang w:val="sr-Cyrl-CS"/>
        </w:rPr>
        <w:t xml:space="preserve"> </w:t>
      </w:r>
      <w:r w:rsidR="003062B4" w:rsidRPr="004831AB">
        <w:rPr>
          <w:bCs/>
          <w:lang w:val="sr-Cyrl-CS"/>
        </w:rPr>
        <w:t xml:space="preserve">кључној </w:t>
      </w:r>
      <w:r w:rsidR="00D71564" w:rsidRPr="004831AB">
        <w:rPr>
          <w:bCs/>
          <w:lang w:val="sr-Cyrl-CS"/>
        </w:rPr>
        <w:t>инфраструктури</w:t>
      </w:r>
      <w:r w:rsidR="00766E93" w:rsidRPr="004831AB">
        <w:rPr>
          <w:rFonts w:eastAsia="Times New Roman"/>
          <w:bCs/>
          <w:lang w:val="sr-Cyrl-CS"/>
        </w:rPr>
        <w:t xml:space="preserve"> </w:t>
      </w:r>
      <w:bookmarkEnd w:id="10"/>
    </w:p>
    <w:tbl>
      <w:tblPr>
        <w:tblStyle w:val="TableGrid"/>
        <w:tblW w:w="0" w:type="auto"/>
        <w:tblLook w:val="04A0" w:firstRow="1" w:lastRow="0" w:firstColumn="1" w:lastColumn="0" w:noHBand="0" w:noVBand="1"/>
      </w:tblPr>
      <w:tblGrid>
        <w:gridCol w:w="1532"/>
        <w:gridCol w:w="3019"/>
        <w:gridCol w:w="1737"/>
        <w:gridCol w:w="1737"/>
        <w:gridCol w:w="1591"/>
      </w:tblGrid>
      <w:tr w:rsidR="0056799A" w:rsidRPr="004831AB" w14:paraId="240C3698" w14:textId="77777777" w:rsidTr="001F3BDC">
        <w:tc>
          <w:tcPr>
            <w:tcW w:w="1532" w:type="dxa"/>
          </w:tcPr>
          <w:p w14:paraId="47257AF3" w14:textId="77777777" w:rsidR="0056799A" w:rsidRPr="004831AB" w:rsidRDefault="0056799A" w:rsidP="0056799A">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019" w:type="dxa"/>
          </w:tcPr>
          <w:p w14:paraId="03EAA688"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737" w:type="dxa"/>
          </w:tcPr>
          <w:p w14:paraId="5C03523F"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3062" w:type="dxa"/>
            <w:gridSpan w:val="2"/>
          </w:tcPr>
          <w:p w14:paraId="0677267D" w14:textId="77777777" w:rsidR="0056799A" w:rsidRPr="004831AB" w:rsidRDefault="0056799A" w:rsidP="0056799A">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4967F7" w:rsidRPr="004831AB" w14:paraId="459D5D70" w14:textId="77777777" w:rsidTr="0056799A">
        <w:tc>
          <w:tcPr>
            <w:tcW w:w="1532" w:type="dxa"/>
          </w:tcPr>
          <w:p w14:paraId="03972D01"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019" w:type="dxa"/>
          </w:tcPr>
          <w:p w14:paraId="59A6334A"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737" w:type="dxa"/>
          </w:tcPr>
          <w:p w14:paraId="580A7300" w14:textId="77777777" w:rsidR="004967F7" w:rsidRPr="004831AB" w:rsidRDefault="004967F7" w:rsidP="004967F7">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737" w:type="dxa"/>
          </w:tcPr>
          <w:p w14:paraId="23EAAE07" w14:textId="77777777" w:rsidR="004967F7" w:rsidRPr="004831AB" w:rsidRDefault="004967F7" w:rsidP="004967F7">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325" w:type="dxa"/>
          </w:tcPr>
          <w:p w14:paraId="7D231303"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4967F7" w:rsidRPr="004831AB" w14:paraId="12DCD97C" w14:textId="77777777" w:rsidTr="0056799A">
        <w:tc>
          <w:tcPr>
            <w:tcW w:w="1532" w:type="dxa"/>
          </w:tcPr>
          <w:p w14:paraId="41167B90" w14:textId="77777777" w:rsidR="004967F7" w:rsidRPr="004831AB" w:rsidRDefault="004967F7" w:rsidP="00F95A91">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019" w:type="dxa"/>
          </w:tcPr>
          <w:p w14:paraId="168F100B" w14:textId="77777777" w:rsidR="004967F7" w:rsidRPr="004831AB" w:rsidRDefault="004967F7" w:rsidP="00F95A91">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Износ средстава издвојених за подршку развоју пословне инфраструктуре</w:t>
            </w:r>
          </w:p>
        </w:tc>
        <w:tc>
          <w:tcPr>
            <w:tcW w:w="1737" w:type="dxa"/>
          </w:tcPr>
          <w:p w14:paraId="0967297A" w14:textId="77777777" w:rsidR="004967F7" w:rsidRPr="004831AB" w:rsidRDefault="004967F7" w:rsidP="00F95A91">
            <w:pPr>
              <w:rPr>
                <w:rFonts w:ascii="Times New Roman" w:eastAsia="Calibri" w:hAnsi="Times New Roman" w:cs="Times New Roman"/>
                <w:lang w:val="sr-Cyrl-CS"/>
              </w:rPr>
            </w:pPr>
            <w:r w:rsidRPr="004831AB">
              <w:rPr>
                <w:rFonts w:ascii="Times New Roman" w:eastAsia="Calibri" w:hAnsi="Times New Roman" w:cs="Times New Roman"/>
                <w:lang w:val="sr-Cyrl-CS"/>
              </w:rPr>
              <w:t>Буџет РС, Извештаји о спровођењу Програма за подршку развоју пословне инфраструктуре</w:t>
            </w:r>
          </w:p>
        </w:tc>
        <w:tc>
          <w:tcPr>
            <w:tcW w:w="1737" w:type="dxa"/>
          </w:tcPr>
          <w:p w14:paraId="55AED8A1" w14:textId="77777777" w:rsidR="004967F7" w:rsidRPr="004831AB" w:rsidRDefault="004967F7" w:rsidP="00F95A91">
            <w:pPr>
              <w:rPr>
                <w:rFonts w:ascii="Times New Roman" w:eastAsia="Calibri" w:hAnsi="Times New Roman" w:cs="Times New Roman"/>
                <w:lang w:val="sr-Cyrl-CS"/>
              </w:rPr>
            </w:pPr>
          </w:p>
          <w:p w14:paraId="2FB971E1" w14:textId="77777777" w:rsidR="00302876" w:rsidRPr="004831AB" w:rsidRDefault="00C85D5B" w:rsidP="00F95A91">
            <w:pPr>
              <w:rPr>
                <w:rFonts w:ascii="Times New Roman" w:eastAsia="Calibri" w:hAnsi="Times New Roman" w:cs="Times New Roman"/>
                <w:lang w:val="sr-Cyrl-CS"/>
              </w:rPr>
            </w:pPr>
            <w:r w:rsidRPr="004831AB">
              <w:rPr>
                <w:rFonts w:ascii="Times New Roman" w:eastAsia="Calibri" w:hAnsi="Times New Roman" w:cs="Times New Roman"/>
                <w:lang w:val="sr-Cyrl-CS"/>
              </w:rPr>
              <w:t>647.000.000,00</w:t>
            </w:r>
            <w:r w:rsidRPr="004831AB" w:rsidDel="00C85D5B">
              <w:rPr>
                <w:rFonts w:ascii="Times New Roman" w:eastAsia="Calibri" w:hAnsi="Times New Roman" w:cs="Times New Roman"/>
                <w:lang w:val="sr-Cyrl-CS"/>
              </w:rPr>
              <w:t xml:space="preserve"> </w:t>
            </w:r>
            <w:r w:rsidR="00F757C7" w:rsidRPr="004831AB">
              <w:rPr>
                <w:rFonts w:ascii="Times New Roman" w:eastAsia="Calibri" w:hAnsi="Times New Roman" w:cs="Times New Roman"/>
                <w:lang w:val="sr-Cyrl-CS"/>
              </w:rPr>
              <w:t>(2022)</w:t>
            </w:r>
          </w:p>
        </w:tc>
        <w:tc>
          <w:tcPr>
            <w:tcW w:w="1325" w:type="dxa"/>
          </w:tcPr>
          <w:p w14:paraId="785292F6" w14:textId="77777777" w:rsidR="004967F7" w:rsidRPr="004831AB" w:rsidRDefault="00C85D5B" w:rsidP="00F95A91">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700.000.000,00</w:t>
            </w:r>
            <w:r w:rsidR="00F757C7" w:rsidRPr="004831AB">
              <w:rPr>
                <w:rFonts w:ascii="Times New Roman" w:eastAsia="Calibri" w:hAnsi="Times New Roman" w:cs="Times New Roman"/>
                <w:lang w:val="sr-Cyrl-CS"/>
              </w:rPr>
              <w:t xml:space="preserve"> (2027)</w:t>
            </w:r>
          </w:p>
        </w:tc>
      </w:tr>
      <w:tr w:rsidR="007D2CA2" w:rsidRPr="004831AB" w14:paraId="00F9553A" w14:textId="77777777" w:rsidTr="0056799A">
        <w:tc>
          <w:tcPr>
            <w:tcW w:w="1532" w:type="dxa"/>
          </w:tcPr>
          <w:p w14:paraId="3D903619" w14:textId="77777777" w:rsidR="007D2CA2" w:rsidRPr="004831AB" w:rsidRDefault="007D2CA2" w:rsidP="00F95A91">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Опис</w:t>
            </w:r>
          </w:p>
        </w:tc>
        <w:tc>
          <w:tcPr>
            <w:tcW w:w="7818" w:type="dxa"/>
            <w:gridSpan w:val="4"/>
          </w:tcPr>
          <w:p w14:paraId="607844EE" w14:textId="1179FE29" w:rsidR="002F4465" w:rsidRPr="004831AB" w:rsidRDefault="00CB5A9F" w:rsidP="00CF63C9">
            <w:pPr>
              <w:jc w:val="both"/>
              <w:rPr>
                <w:rFonts w:ascii="Times New Roman" w:eastAsia="Calibri" w:hAnsi="Times New Roman" w:cs="Times New Roman"/>
                <w:lang w:val="sr-Cyrl-CS"/>
              </w:rPr>
            </w:pPr>
            <w:r w:rsidRPr="004831AB">
              <w:rPr>
                <w:rFonts w:ascii="Times New Roman" w:eastAsia="Calibri" w:hAnsi="Times New Roman" w:cs="Times New Roman"/>
                <w:lang w:val="sr-Cyrl-CS"/>
              </w:rPr>
              <w:t>Бројне студије указују на то да је физичка инфраструктура кључни предуслов за развој МСПП. Физичка</w:t>
            </w:r>
            <w:r w:rsidR="0002476A" w:rsidRPr="004831AB">
              <w:rPr>
                <w:rFonts w:ascii="Times New Roman" w:eastAsia="Calibri" w:hAnsi="Times New Roman" w:cs="Times New Roman"/>
                <w:lang w:val="sr-Cyrl-CS"/>
              </w:rPr>
              <w:t xml:space="preserve"> и основна</w:t>
            </w:r>
            <w:r w:rsidRPr="004831AB">
              <w:rPr>
                <w:rFonts w:ascii="Times New Roman" w:eastAsia="Calibri" w:hAnsi="Times New Roman" w:cs="Times New Roman"/>
                <w:lang w:val="sr-Cyrl-CS"/>
              </w:rPr>
              <w:t xml:space="preserve"> инфраструктура </w:t>
            </w:r>
            <w:r w:rsidR="0002476A" w:rsidRPr="004831AB">
              <w:rPr>
                <w:rFonts w:ascii="Times New Roman" w:eastAsia="Calibri" w:hAnsi="Times New Roman" w:cs="Times New Roman"/>
                <w:lang w:val="sr-Cyrl-CS"/>
              </w:rPr>
              <w:t>(приступни путеви, прикључење на енергетску мрежу и трафостанице, интернет итд.)</w:t>
            </w:r>
            <w:r w:rsidR="00BF2D8E" w:rsidRPr="004831AB">
              <w:rPr>
                <w:rFonts w:ascii="Times New Roman" w:eastAsia="Calibri" w:hAnsi="Times New Roman" w:cs="Times New Roman"/>
                <w:lang w:val="sr-Cyrl-CS"/>
              </w:rPr>
              <w:t xml:space="preserve"> </w:t>
            </w:r>
            <w:r w:rsidR="00CF63C9" w:rsidRPr="004831AB">
              <w:rPr>
                <w:rFonts w:ascii="Times New Roman" w:eastAsia="Calibri" w:hAnsi="Times New Roman" w:cs="Times New Roman"/>
                <w:lang w:val="sr-Cyrl-CS"/>
              </w:rPr>
              <w:t>j</w:t>
            </w:r>
            <w:r w:rsidR="00E3506E" w:rsidRPr="004831AB">
              <w:rPr>
                <w:rFonts w:ascii="Times New Roman" w:eastAsia="Calibri" w:hAnsi="Times New Roman" w:cs="Times New Roman"/>
                <w:lang w:val="sr-Cyrl-CS"/>
              </w:rPr>
              <w:t>ош увек</w:t>
            </w:r>
            <w:r w:rsidR="0002476A"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није једнако доступна у свим регионима у Републици Србији</w:t>
            </w:r>
            <w:r w:rsidR="00560ED8" w:rsidRPr="004831AB">
              <w:rPr>
                <w:rFonts w:ascii="Times New Roman" w:eastAsia="Calibri" w:hAnsi="Times New Roman" w:cs="Times New Roman"/>
                <w:lang w:val="sr-Cyrl-CS"/>
              </w:rPr>
              <w:t xml:space="preserve">, што је потврђено и кроз јавно-приватни дијалог организован у процесу припреме </w:t>
            </w:r>
            <w:r w:rsidR="00E86946" w:rsidRPr="004831AB">
              <w:rPr>
                <w:rFonts w:ascii="Times New Roman" w:eastAsia="Calibri" w:hAnsi="Times New Roman" w:cs="Times New Roman"/>
                <w:lang w:val="sr-Cyrl-CS"/>
              </w:rPr>
              <w:t>С</w:t>
            </w:r>
            <w:r w:rsidR="00560ED8" w:rsidRPr="004831AB">
              <w:rPr>
                <w:rFonts w:ascii="Times New Roman" w:eastAsia="Calibri" w:hAnsi="Times New Roman" w:cs="Times New Roman"/>
                <w:lang w:val="sr-Cyrl-CS"/>
              </w:rPr>
              <w:t>тратегије</w:t>
            </w:r>
            <w:r w:rsidRPr="004831AB">
              <w:rPr>
                <w:rFonts w:ascii="Times New Roman" w:eastAsia="Calibri" w:hAnsi="Times New Roman" w:cs="Times New Roman"/>
                <w:color w:val="FF0000"/>
                <w:lang w:val="sr-Cyrl-CS"/>
              </w:rPr>
              <w:t xml:space="preserve">. </w:t>
            </w:r>
            <w:r w:rsidR="00530F62" w:rsidRPr="004831AB">
              <w:rPr>
                <w:rFonts w:ascii="Times New Roman" w:eastAsia="Calibri" w:hAnsi="Times New Roman" w:cs="Times New Roman"/>
                <w:lang w:val="sr-Cyrl-CS"/>
              </w:rPr>
              <w:t xml:space="preserve">Циљ ове мере је </w:t>
            </w:r>
            <w:r w:rsidR="00560ED8" w:rsidRPr="004831AB">
              <w:rPr>
                <w:rFonts w:ascii="Times New Roman" w:eastAsia="Calibri" w:hAnsi="Times New Roman" w:cs="Times New Roman"/>
                <w:lang w:val="sr-Cyrl-CS"/>
              </w:rPr>
              <w:t xml:space="preserve">подршка МСПП и јединицама локалне самоуправе за </w:t>
            </w:r>
            <w:r w:rsidR="00530F62" w:rsidRPr="004831AB">
              <w:rPr>
                <w:rFonts w:ascii="Times New Roman" w:eastAsia="Calibri" w:hAnsi="Times New Roman" w:cs="Times New Roman"/>
                <w:lang w:val="sr-Cyrl-CS"/>
              </w:rPr>
              <w:t xml:space="preserve">развој </w:t>
            </w:r>
            <w:r w:rsidR="00560ED8" w:rsidRPr="004831AB">
              <w:rPr>
                <w:rFonts w:ascii="Times New Roman" w:eastAsia="Calibri" w:hAnsi="Times New Roman" w:cs="Times New Roman"/>
                <w:lang w:val="sr-Cyrl-CS"/>
              </w:rPr>
              <w:t xml:space="preserve">и реализацију </w:t>
            </w:r>
            <w:r w:rsidR="00530F62" w:rsidRPr="004831AB">
              <w:rPr>
                <w:rFonts w:ascii="Times New Roman" w:eastAsia="Calibri" w:hAnsi="Times New Roman" w:cs="Times New Roman"/>
                <w:lang w:val="sr-Cyrl-CS"/>
              </w:rPr>
              <w:t xml:space="preserve">инфраструктурних предуслова </w:t>
            </w:r>
            <w:r w:rsidR="00560ED8" w:rsidRPr="004831AB">
              <w:rPr>
                <w:rFonts w:ascii="Times New Roman" w:eastAsia="Calibri" w:hAnsi="Times New Roman" w:cs="Times New Roman"/>
                <w:lang w:val="sr-Cyrl-CS"/>
              </w:rPr>
              <w:t>за пословање</w:t>
            </w:r>
            <w:r w:rsidR="00530F62" w:rsidRPr="004831AB">
              <w:rPr>
                <w:rFonts w:ascii="Times New Roman" w:eastAsia="Calibri" w:hAnsi="Times New Roman" w:cs="Times New Roman"/>
                <w:lang w:val="sr-Cyrl-CS"/>
              </w:rPr>
              <w:t>, те убрзани раст и развој МСПП. Мере развоја инфраструктуре се посебно односе на неразвијена подручја. У оквиру ове мере су предвиђене активности које укључују</w:t>
            </w:r>
            <w:r w:rsidR="00560ED8" w:rsidRPr="004831AB">
              <w:rPr>
                <w:rFonts w:ascii="Times New Roman" w:eastAsia="Calibri" w:hAnsi="Times New Roman" w:cs="Times New Roman"/>
                <w:lang w:val="sr-Cyrl-CS"/>
              </w:rPr>
              <w:t xml:space="preserve"> реализацију програма </w:t>
            </w:r>
            <w:r w:rsidR="0002476A" w:rsidRPr="004831AB">
              <w:rPr>
                <w:rFonts w:ascii="Times New Roman" w:eastAsia="Calibri" w:hAnsi="Times New Roman" w:cs="Times New Roman"/>
                <w:lang w:val="sr-Cyrl-CS"/>
              </w:rPr>
              <w:t>Министарства привреде који доприносе унапређењу кључне</w:t>
            </w:r>
            <w:r w:rsidR="00E3506E" w:rsidRPr="004831AB">
              <w:rPr>
                <w:rFonts w:ascii="Times New Roman" w:eastAsia="Calibri" w:hAnsi="Times New Roman" w:cs="Times New Roman"/>
                <w:lang w:val="sr-Cyrl-CS"/>
              </w:rPr>
              <w:t xml:space="preserve"> економске</w:t>
            </w:r>
            <w:r w:rsidR="0002476A" w:rsidRPr="004831AB">
              <w:rPr>
                <w:rFonts w:ascii="Times New Roman" w:eastAsia="Calibri" w:hAnsi="Times New Roman" w:cs="Times New Roman"/>
                <w:lang w:val="sr-Cyrl-CS"/>
              </w:rPr>
              <w:t xml:space="preserve"> инфраструктуре, али и донаторских пројеката који пружају финансијску подршку</w:t>
            </w:r>
            <w:r w:rsidR="00C84965" w:rsidRPr="004831AB">
              <w:rPr>
                <w:rFonts w:ascii="Times New Roman" w:eastAsia="Calibri" w:hAnsi="Times New Roman" w:cs="Times New Roman"/>
                <w:lang w:val="sr-Cyrl-CS"/>
              </w:rPr>
              <w:t xml:space="preserve"> </w:t>
            </w:r>
            <w:r w:rsidR="0002476A" w:rsidRPr="004831AB">
              <w:rPr>
                <w:rFonts w:ascii="Times New Roman" w:eastAsia="Calibri" w:hAnsi="Times New Roman" w:cs="Times New Roman"/>
                <w:lang w:val="sr-Cyrl-CS"/>
              </w:rPr>
              <w:t>за ове сврхе.</w:t>
            </w:r>
            <w:r w:rsidR="00E3506E" w:rsidRPr="004831AB">
              <w:rPr>
                <w:rFonts w:ascii="Times New Roman" w:eastAsia="Calibri" w:hAnsi="Times New Roman" w:cs="Times New Roman"/>
                <w:lang w:val="sr-Cyrl-CS"/>
              </w:rPr>
              <w:t xml:space="preserve"> </w:t>
            </w:r>
            <w:r w:rsidR="002F4465" w:rsidRPr="004831AB">
              <w:rPr>
                <w:rFonts w:ascii="Times New Roman" w:eastAsia="Calibri" w:hAnsi="Times New Roman" w:cs="Times New Roman"/>
                <w:lang w:val="sr-Cyrl-CS"/>
              </w:rPr>
              <w:t>Ова мера је компле</w:t>
            </w:r>
            <w:r w:rsidRPr="004831AB">
              <w:rPr>
                <w:rFonts w:ascii="Times New Roman" w:eastAsia="Calibri" w:hAnsi="Times New Roman" w:cs="Times New Roman"/>
                <w:lang w:val="sr-Cyrl-CS"/>
              </w:rPr>
              <w:t>ме</w:t>
            </w:r>
            <w:r w:rsidR="002F4465" w:rsidRPr="004831AB">
              <w:rPr>
                <w:rFonts w:ascii="Times New Roman" w:eastAsia="Calibri" w:hAnsi="Times New Roman" w:cs="Times New Roman"/>
                <w:lang w:val="sr-Cyrl-CS"/>
              </w:rPr>
              <w:t xml:space="preserve">нтарна са другим јавним политикама које уређују унапређење инфраструктуре за економски развој. </w:t>
            </w:r>
          </w:p>
        </w:tc>
      </w:tr>
      <w:tr w:rsidR="007D2CA2" w:rsidRPr="004831AB" w14:paraId="0B8F76FD" w14:textId="77777777" w:rsidTr="0056799A">
        <w:tc>
          <w:tcPr>
            <w:tcW w:w="1532" w:type="dxa"/>
          </w:tcPr>
          <w:p w14:paraId="784741B9" w14:textId="77777777" w:rsidR="007D2CA2" w:rsidRPr="004831AB" w:rsidRDefault="007D2CA2" w:rsidP="00F95A91">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818" w:type="dxa"/>
            <w:gridSpan w:val="4"/>
          </w:tcPr>
          <w:p w14:paraId="60B14420" w14:textId="33AD2C38" w:rsidR="007D2CA2" w:rsidRPr="004831AB" w:rsidRDefault="00CB5A9F" w:rsidP="00936D4F">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Овом мером ће се </w:t>
            </w:r>
            <w:r w:rsidR="0002476A" w:rsidRPr="004831AB">
              <w:rPr>
                <w:rFonts w:ascii="Times New Roman" w:eastAsia="Calibri" w:hAnsi="Times New Roman" w:cs="Times New Roman"/>
                <w:lang w:val="sr-Cyrl-CS"/>
              </w:rPr>
              <w:t>омогућити приступ већег броја МСПП основној инфраструктури</w:t>
            </w:r>
            <w:r w:rsidR="00E3506E" w:rsidRPr="004831AB">
              <w:rPr>
                <w:rFonts w:ascii="Times New Roman" w:eastAsia="Calibri" w:hAnsi="Times New Roman" w:cs="Times New Roman"/>
                <w:lang w:val="sr-Cyrl-CS"/>
              </w:rPr>
              <w:t xml:space="preserve"> и створити услови за пословање МСПП у најмање развијеним </w:t>
            </w:r>
            <w:r w:rsidR="00936D4F" w:rsidRPr="004831AB">
              <w:rPr>
                <w:rFonts w:ascii="Times New Roman" w:eastAsia="Calibri" w:hAnsi="Times New Roman" w:cs="Times New Roman"/>
                <w:lang w:val="sr-Cyrl-CS"/>
              </w:rPr>
              <w:t xml:space="preserve">јединицама </w:t>
            </w:r>
            <w:r w:rsidR="00E3506E" w:rsidRPr="004831AB">
              <w:rPr>
                <w:rFonts w:ascii="Times New Roman" w:eastAsia="Calibri" w:hAnsi="Times New Roman" w:cs="Times New Roman"/>
                <w:lang w:val="sr-Cyrl-CS"/>
              </w:rPr>
              <w:t>локалн</w:t>
            </w:r>
            <w:r w:rsidR="00936D4F" w:rsidRPr="004831AB">
              <w:rPr>
                <w:rFonts w:ascii="Times New Roman" w:eastAsia="Calibri" w:hAnsi="Times New Roman" w:cs="Times New Roman"/>
                <w:lang w:val="sr-Cyrl-CS"/>
              </w:rPr>
              <w:t>е</w:t>
            </w:r>
            <w:r w:rsidR="00E3506E" w:rsidRPr="004831AB">
              <w:rPr>
                <w:rFonts w:ascii="Times New Roman" w:eastAsia="Calibri" w:hAnsi="Times New Roman" w:cs="Times New Roman"/>
                <w:lang w:val="sr-Cyrl-CS"/>
              </w:rPr>
              <w:t xml:space="preserve"> самоуправ</w:t>
            </w:r>
            <w:r w:rsidR="00936D4F" w:rsidRPr="004831AB">
              <w:rPr>
                <w:rFonts w:ascii="Times New Roman" w:eastAsia="Calibri" w:hAnsi="Times New Roman" w:cs="Times New Roman"/>
                <w:lang w:val="sr-Cyrl-CS"/>
              </w:rPr>
              <w:t>е</w:t>
            </w:r>
            <w:r w:rsidR="00E3506E" w:rsidRPr="004831AB">
              <w:rPr>
                <w:rFonts w:ascii="Times New Roman" w:eastAsia="Calibri" w:hAnsi="Times New Roman" w:cs="Times New Roman"/>
                <w:lang w:val="sr-Cyrl-CS"/>
              </w:rPr>
              <w:t xml:space="preserve">. </w:t>
            </w:r>
          </w:p>
        </w:tc>
      </w:tr>
    </w:tbl>
    <w:p w14:paraId="19D488F3" w14:textId="77777777" w:rsidR="007D2CA2" w:rsidRPr="004831AB" w:rsidRDefault="007D2CA2" w:rsidP="00AA2D3E">
      <w:pPr>
        <w:rPr>
          <w:lang w:val="sr-Cyrl-CS"/>
        </w:rPr>
      </w:pPr>
    </w:p>
    <w:p w14:paraId="121B5FD7" w14:textId="77777777" w:rsidR="00F74BB7" w:rsidRPr="004831AB" w:rsidRDefault="00F74BB7" w:rsidP="00F74BB7">
      <w:pPr>
        <w:pStyle w:val="Heading3"/>
        <w:rPr>
          <w:rFonts w:eastAsia="Times New Roman"/>
          <w:bCs/>
          <w:lang w:val="sr-Cyrl-CS"/>
        </w:rPr>
      </w:pPr>
      <w:r w:rsidRPr="004831AB">
        <w:rPr>
          <w:rFonts w:eastAsia="Times New Roman"/>
          <w:bCs/>
          <w:lang w:val="sr-Cyrl-CS"/>
        </w:rPr>
        <w:t xml:space="preserve">Мера 1.3: </w:t>
      </w:r>
      <w:r w:rsidRPr="004831AB">
        <w:rPr>
          <w:bCs/>
          <w:lang w:val="sr-Cyrl-CS"/>
        </w:rPr>
        <w:t xml:space="preserve"> </w:t>
      </w:r>
      <w:r w:rsidRPr="004831AB">
        <w:rPr>
          <w:rFonts w:eastAsia="Times New Roman"/>
          <w:bCs/>
          <w:lang w:val="sr-Cyrl-CS"/>
        </w:rPr>
        <w:t>Јачање капацитета институција за подршку МСПП и дијалога за развој са МСПП</w:t>
      </w:r>
    </w:p>
    <w:p w14:paraId="09969F3B" w14:textId="2B8B326C" w:rsidR="00CE622E" w:rsidRPr="004831AB" w:rsidRDefault="00CE622E" w:rsidP="00882B85">
      <w:pPr>
        <w:pStyle w:val="Heading3"/>
        <w:rPr>
          <w:rFonts w:eastAsia="Times New Roman"/>
          <w:bCs/>
          <w:lang w:val="sr-Cyrl-CS"/>
        </w:rPr>
      </w:pPr>
    </w:p>
    <w:tbl>
      <w:tblPr>
        <w:tblStyle w:val="TableGrid"/>
        <w:tblW w:w="0" w:type="auto"/>
        <w:tblLook w:val="04A0" w:firstRow="1" w:lastRow="0" w:firstColumn="1" w:lastColumn="0" w:noHBand="0" w:noVBand="1"/>
      </w:tblPr>
      <w:tblGrid>
        <w:gridCol w:w="1555"/>
        <w:gridCol w:w="3402"/>
        <w:gridCol w:w="1464"/>
        <w:gridCol w:w="1464"/>
        <w:gridCol w:w="1465"/>
      </w:tblGrid>
      <w:tr w:rsidR="0056799A" w:rsidRPr="004831AB" w14:paraId="4834E1C4" w14:textId="77777777" w:rsidTr="001F3BDC">
        <w:tc>
          <w:tcPr>
            <w:tcW w:w="1555" w:type="dxa"/>
          </w:tcPr>
          <w:p w14:paraId="726762D0" w14:textId="77777777" w:rsidR="0056799A" w:rsidRPr="004831AB" w:rsidRDefault="0056799A" w:rsidP="0056799A">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402" w:type="dxa"/>
          </w:tcPr>
          <w:p w14:paraId="0346B13D"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Институционално управљачко-организациона</w:t>
            </w:r>
          </w:p>
        </w:tc>
        <w:tc>
          <w:tcPr>
            <w:tcW w:w="1464" w:type="dxa"/>
          </w:tcPr>
          <w:p w14:paraId="4A0A2563"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2929" w:type="dxa"/>
            <w:gridSpan w:val="2"/>
          </w:tcPr>
          <w:p w14:paraId="0249119A" w14:textId="77777777" w:rsidR="0056799A" w:rsidRPr="004831AB" w:rsidRDefault="0056799A" w:rsidP="0056799A">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4967F7" w:rsidRPr="004831AB" w14:paraId="0768E67D" w14:textId="77777777" w:rsidTr="001F3BDC">
        <w:tc>
          <w:tcPr>
            <w:tcW w:w="1555" w:type="dxa"/>
          </w:tcPr>
          <w:p w14:paraId="2FC5E51D"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402" w:type="dxa"/>
          </w:tcPr>
          <w:p w14:paraId="55F349E6"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464" w:type="dxa"/>
          </w:tcPr>
          <w:p w14:paraId="7166D784" w14:textId="77777777" w:rsidR="004967F7" w:rsidRPr="004831AB" w:rsidRDefault="004967F7" w:rsidP="004967F7">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464" w:type="dxa"/>
          </w:tcPr>
          <w:p w14:paraId="1166D06D" w14:textId="77777777" w:rsidR="004967F7" w:rsidRPr="004831AB" w:rsidRDefault="004967F7" w:rsidP="004967F7">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465" w:type="dxa"/>
          </w:tcPr>
          <w:p w14:paraId="3056A79C" w14:textId="77777777" w:rsidR="004967F7" w:rsidRPr="004831AB" w:rsidRDefault="004967F7" w:rsidP="004967F7">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4967F7" w:rsidRPr="004831AB" w14:paraId="6EEF0DEF" w14:textId="77777777" w:rsidTr="001F3BDC">
        <w:tc>
          <w:tcPr>
            <w:tcW w:w="1555" w:type="dxa"/>
          </w:tcPr>
          <w:p w14:paraId="5E5F0294" w14:textId="77777777" w:rsidR="004967F7" w:rsidRPr="004831AB" w:rsidRDefault="004967F7"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 xml:space="preserve">1. </w:t>
            </w:r>
          </w:p>
        </w:tc>
        <w:tc>
          <w:tcPr>
            <w:tcW w:w="3402" w:type="dxa"/>
          </w:tcPr>
          <w:p w14:paraId="7DF2D84E" w14:textId="77777777" w:rsidR="004967F7" w:rsidRPr="004831AB" w:rsidRDefault="004967F7" w:rsidP="00CE622E">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Институционални оквир, поддимензија 3.1</w:t>
            </w:r>
          </w:p>
        </w:tc>
        <w:tc>
          <w:tcPr>
            <w:tcW w:w="1464" w:type="dxa"/>
          </w:tcPr>
          <w:p w14:paraId="686121CB" w14:textId="77777777" w:rsidR="004967F7" w:rsidRPr="004831AB" w:rsidRDefault="004967F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Индекс политике МСПП за Западни Балкан и Турску</w:t>
            </w:r>
          </w:p>
        </w:tc>
        <w:tc>
          <w:tcPr>
            <w:tcW w:w="1464" w:type="dxa"/>
          </w:tcPr>
          <w:p w14:paraId="715A5384" w14:textId="719A819D" w:rsidR="004967F7"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4.23 (</w:t>
            </w:r>
            <w:r w:rsidRPr="00D639D4">
              <w:rPr>
                <w:rFonts w:ascii="Times New Roman" w:eastAsia="Calibri" w:hAnsi="Times New Roman" w:cs="Times New Roman"/>
                <w:lang w:val="sr-Cyrl-CS"/>
              </w:rPr>
              <w:t>2022</w:t>
            </w:r>
            <w:r w:rsidRPr="004831AB">
              <w:rPr>
                <w:rFonts w:ascii="Times New Roman" w:eastAsia="Calibri" w:hAnsi="Times New Roman" w:cs="Times New Roman"/>
                <w:lang w:val="sr-Cyrl-CS"/>
              </w:rPr>
              <w:t>)</w:t>
            </w:r>
          </w:p>
        </w:tc>
        <w:tc>
          <w:tcPr>
            <w:tcW w:w="1465" w:type="dxa"/>
          </w:tcPr>
          <w:p w14:paraId="3142E8F0" w14:textId="77777777" w:rsidR="004967F7" w:rsidRPr="004831AB" w:rsidRDefault="008A392B" w:rsidP="00CE622E">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4.</w:t>
            </w:r>
            <w:r w:rsidR="0056799A" w:rsidRPr="004831AB">
              <w:rPr>
                <w:rFonts w:ascii="Times New Roman" w:eastAsia="Calibri" w:hAnsi="Times New Roman" w:cs="Times New Roman"/>
                <w:lang w:val="sr-Cyrl-CS"/>
              </w:rPr>
              <w:t>5</w:t>
            </w:r>
            <w:r w:rsidRPr="004831AB">
              <w:rPr>
                <w:rFonts w:ascii="Times New Roman" w:eastAsia="Calibri" w:hAnsi="Times New Roman" w:cs="Times New Roman"/>
                <w:lang w:val="sr-Cyrl-CS"/>
              </w:rPr>
              <w:t>0 (2027)</w:t>
            </w:r>
          </w:p>
        </w:tc>
      </w:tr>
      <w:tr w:rsidR="00CE622E" w:rsidRPr="004831AB" w14:paraId="59129278" w14:textId="77777777" w:rsidTr="00F95A91">
        <w:tc>
          <w:tcPr>
            <w:tcW w:w="1555" w:type="dxa"/>
          </w:tcPr>
          <w:p w14:paraId="63F6865A" w14:textId="77777777" w:rsidR="00CE622E" w:rsidRPr="004831AB" w:rsidRDefault="00CE622E"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795" w:type="dxa"/>
            <w:gridSpan w:val="4"/>
          </w:tcPr>
          <w:p w14:paraId="038D26B5" w14:textId="1B81DFC7" w:rsidR="00CE622E" w:rsidRPr="004831AB" w:rsidRDefault="00CE622E" w:rsidP="009210FA">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Предуслов за адекватну примену активних политика ка МСПП је оснажена јавна управа</w:t>
            </w:r>
            <w:r w:rsidR="000338A0" w:rsidRPr="004831AB">
              <w:rPr>
                <w:rFonts w:ascii="Times New Roman" w:eastAsia="Calibri" w:hAnsi="Times New Roman" w:cs="Times New Roman"/>
                <w:lang w:val="sr-Cyrl-CS"/>
              </w:rPr>
              <w:t xml:space="preserve"> и институције које су задужене за имплем</w:t>
            </w:r>
            <w:r w:rsidR="00936D4F" w:rsidRPr="004831AB">
              <w:rPr>
                <w:rFonts w:ascii="Times New Roman" w:eastAsia="Calibri" w:hAnsi="Times New Roman" w:cs="Times New Roman"/>
                <w:lang w:val="sr-Cyrl-CS"/>
              </w:rPr>
              <w:t>е</w:t>
            </w:r>
            <w:r w:rsidR="000338A0" w:rsidRPr="004831AB">
              <w:rPr>
                <w:rFonts w:ascii="Times New Roman" w:eastAsia="Calibri" w:hAnsi="Times New Roman" w:cs="Times New Roman"/>
                <w:lang w:val="sr-Cyrl-CS"/>
              </w:rPr>
              <w:t>нтацију политике</w:t>
            </w:r>
            <w:r w:rsidR="0002476A" w:rsidRPr="004831AB">
              <w:rPr>
                <w:rFonts w:ascii="Times New Roman" w:eastAsia="Calibri" w:hAnsi="Times New Roman" w:cs="Times New Roman"/>
                <w:lang w:val="sr-Cyrl-CS"/>
              </w:rPr>
              <w:t xml:space="preserve"> развоја МСПП</w:t>
            </w:r>
            <w:r w:rsidR="00F672E5" w:rsidRPr="004831AB">
              <w:rPr>
                <w:rFonts w:ascii="Times New Roman" w:eastAsia="Calibri" w:hAnsi="Times New Roman" w:cs="Times New Roman"/>
                <w:lang w:val="sr-Cyrl-CS"/>
              </w:rPr>
              <w:t>,</w:t>
            </w:r>
            <w:r w:rsidR="000338A0" w:rsidRPr="004831AB">
              <w:rPr>
                <w:rFonts w:ascii="Times New Roman" w:eastAsia="Calibri" w:hAnsi="Times New Roman" w:cs="Times New Roman"/>
                <w:lang w:val="sr-Cyrl-CS"/>
              </w:rPr>
              <w:t xml:space="preserve"> </w:t>
            </w:r>
            <w:r w:rsidR="00BD56F8" w:rsidRPr="004831AB">
              <w:rPr>
                <w:rFonts w:ascii="Times New Roman" w:eastAsia="Calibri" w:hAnsi="Times New Roman" w:cs="Times New Roman"/>
                <w:lang w:val="sr-Cyrl-CS"/>
              </w:rPr>
              <w:t>као и стални јавно-приватни дијалог у вези са потребама и проблемима са којима се МСПП суочавају у пословању</w:t>
            </w:r>
            <w:r w:rsidR="003741B5" w:rsidRPr="004831AB">
              <w:rPr>
                <w:rFonts w:ascii="Times New Roman" w:eastAsia="Calibri" w:hAnsi="Times New Roman" w:cs="Times New Roman"/>
                <w:lang w:val="sr-Cyrl-CS"/>
              </w:rPr>
              <w:t xml:space="preserve">. С тим у вези, </w:t>
            </w:r>
            <w:r w:rsidR="00496FDE" w:rsidRPr="004831AB">
              <w:rPr>
                <w:rFonts w:ascii="Times New Roman" w:eastAsia="Calibri" w:hAnsi="Times New Roman" w:cs="Times New Roman"/>
                <w:lang w:val="sr-Cyrl-CS"/>
              </w:rPr>
              <w:t xml:space="preserve">потребно је даље јачање фондова и агенција задужених за имплементацију политика усмерених ка сектору МСПП као што су </w:t>
            </w:r>
            <w:r w:rsidR="0017073C" w:rsidRPr="004831AB">
              <w:rPr>
                <w:rFonts w:ascii="Times New Roman" w:eastAsia="Calibri" w:hAnsi="Times New Roman" w:cs="Times New Roman"/>
                <w:lang w:val="sr-Cyrl-CS"/>
              </w:rPr>
              <w:t xml:space="preserve">РАС, </w:t>
            </w:r>
            <w:r w:rsidR="00496FDE" w:rsidRPr="004831AB">
              <w:rPr>
                <w:rFonts w:ascii="Times New Roman" w:eastAsia="Calibri" w:hAnsi="Times New Roman" w:cs="Times New Roman"/>
                <w:lang w:val="sr-Cyrl-CS"/>
              </w:rPr>
              <w:t xml:space="preserve">ФЗР и АОФИ пре свега по питању реализације пројеката у складу са новим трендовима и токовима (еколошки аспекти пројеката и зелено финансирање). </w:t>
            </w:r>
            <w:r w:rsidR="003741B5" w:rsidRPr="004831AB">
              <w:rPr>
                <w:rFonts w:ascii="Times New Roman" w:eastAsia="Calibri" w:hAnsi="Times New Roman" w:cs="Times New Roman"/>
                <w:lang w:val="sr-Cyrl-CS"/>
              </w:rPr>
              <w:t xml:space="preserve">Такође, </w:t>
            </w:r>
            <w:r w:rsidR="00496FDE" w:rsidRPr="004831AB">
              <w:rPr>
                <w:rFonts w:ascii="Times New Roman" w:eastAsia="Calibri" w:hAnsi="Times New Roman" w:cs="Times New Roman"/>
                <w:lang w:val="sr-Cyrl-CS"/>
              </w:rPr>
              <w:t xml:space="preserve">мера </w:t>
            </w:r>
            <w:r w:rsidR="003741B5" w:rsidRPr="004831AB">
              <w:rPr>
                <w:rFonts w:ascii="Times New Roman" w:eastAsia="Calibri" w:hAnsi="Times New Roman" w:cs="Times New Roman"/>
                <w:lang w:val="sr-Cyrl-CS"/>
              </w:rPr>
              <w:t xml:space="preserve">обухвата подизање капацитета </w:t>
            </w:r>
            <w:r w:rsidR="00313724" w:rsidRPr="004831AB">
              <w:rPr>
                <w:rFonts w:ascii="Times New Roman" w:eastAsia="Calibri" w:hAnsi="Times New Roman" w:cs="Times New Roman"/>
                <w:lang w:val="sr-Cyrl-CS"/>
              </w:rPr>
              <w:t xml:space="preserve">АРРА </w:t>
            </w:r>
            <w:r w:rsidR="00496FDE" w:rsidRPr="004831AB">
              <w:rPr>
                <w:rFonts w:ascii="Times New Roman" w:eastAsia="Calibri" w:hAnsi="Times New Roman" w:cs="Times New Roman"/>
                <w:lang w:val="sr-Cyrl-CS"/>
              </w:rPr>
              <w:t>и њихово оснаживање како би МСПП на локалу добили адекватну подршку, али и промоцију предузетништва на локалном нивоу</w:t>
            </w:r>
            <w:r w:rsidR="00BD56F8" w:rsidRPr="004831AB">
              <w:rPr>
                <w:rFonts w:ascii="Times New Roman" w:eastAsia="Calibri" w:hAnsi="Times New Roman" w:cs="Times New Roman"/>
                <w:lang w:val="sr-Cyrl-CS"/>
              </w:rPr>
              <w:t>.</w:t>
            </w:r>
            <w:r w:rsidR="00AA022B"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На крају, ова мера има</w:t>
            </w:r>
            <w:r w:rsidR="007B52D8" w:rsidRPr="004831AB">
              <w:rPr>
                <w:rFonts w:ascii="Times New Roman" w:eastAsia="Calibri" w:hAnsi="Times New Roman" w:cs="Times New Roman"/>
                <w:lang w:val="sr-Cyrl-CS"/>
              </w:rPr>
              <w:t xml:space="preserve"> за циљ</w:t>
            </w:r>
            <w:r w:rsidR="00BD56F8" w:rsidRPr="004831AB">
              <w:rPr>
                <w:rFonts w:ascii="Times New Roman" w:eastAsia="Calibri" w:hAnsi="Times New Roman" w:cs="Times New Roman"/>
                <w:lang w:val="sr-Cyrl-CS"/>
              </w:rPr>
              <w:t xml:space="preserve"> и одржавање сталног дијалога за МСПП</w:t>
            </w:r>
            <w:r w:rsidRPr="004831AB">
              <w:rPr>
                <w:rFonts w:ascii="Times New Roman" w:eastAsia="Calibri" w:hAnsi="Times New Roman" w:cs="Times New Roman"/>
                <w:lang w:val="sr-Cyrl-CS"/>
              </w:rPr>
              <w:t xml:space="preserve"> и адекватно статистичко праћење и извештавање о стању и приликама у сектору МСПП у складу са ЕУ статистикама и методологијама</w:t>
            </w:r>
            <w:r w:rsidR="00496FDE" w:rsidRPr="004831AB">
              <w:rPr>
                <w:rFonts w:ascii="Times New Roman" w:eastAsia="Calibri" w:hAnsi="Times New Roman" w:cs="Times New Roman"/>
                <w:lang w:val="sr-Cyrl-CS"/>
              </w:rPr>
              <w:t xml:space="preserve">, </w:t>
            </w:r>
            <w:r w:rsidR="00BD56F8" w:rsidRPr="004831AB">
              <w:rPr>
                <w:rFonts w:ascii="Times New Roman" w:eastAsia="Calibri" w:hAnsi="Times New Roman" w:cs="Times New Roman"/>
                <w:lang w:val="sr-Cyrl-CS"/>
              </w:rPr>
              <w:t>у циљу</w:t>
            </w:r>
            <w:r w:rsidR="00496FDE" w:rsidRPr="004831AB">
              <w:rPr>
                <w:rFonts w:ascii="Times New Roman" w:eastAsia="Calibri" w:hAnsi="Times New Roman" w:cs="Times New Roman"/>
                <w:lang w:val="sr-Cyrl-CS"/>
              </w:rPr>
              <w:t xml:space="preserve">  редовно</w:t>
            </w:r>
            <w:r w:rsidR="00BD56F8" w:rsidRPr="004831AB">
              <w:rPr>
                <w:rFonts w:ascii="Times New Roman" w:eastAsia="Calibri" w:hAnsi="Times New Roman" w:cs="Times New Roman"/>
                <w:lang w:val="sr-Cyrl-CS"/>
              </w:rPr>
              <w:t>г</w:t>
            </w:r>
            <w:r w:rsidR="00496FDE" w:rsidRPr="004831AB">
              <w:rPr>
                <w:rFonts w:ascii="Times New Roman" w:eastAsia="Calibri" w:hAnsi="Times New Roman" w:cs="Times New Roman"/>
                <w:lang w:val="sr-Cyrl-CS"/>
              </w:rPr>
              <w:t xml:space="preserve"> </w:t>
            </w:r>
            <w:r w:rsidR="00BD56F8" w:rsidRPr="004831AB">
              <w:rPr>
                <w:rFonts w:ascii="Times New Roman" w:eastAsia="Calibri" w:hAnsi="Times New Roman" w:cs="Times New Roman"/>
                <w:lang w:val="sr-Cyrl-CS"/>
              </w:rPr>
              <w:t xml:space="preserve">праћења </w:t>
            </w:r>
            <w:r w:rsidR="00496FDE" w:rsidRPr="004831AB">
              <w:rPr>
                <w:rFonts w:ascii="Times New Roman" w:eastAsia="Calibri" w:hAnsi="Times New Roman" w:cs="Times New Roman"/>
                <w:lang w:val="sr-Cyrl-CS"/>
              </w:rPr>
              <w:t>потреба и приоритета МСПП</w:t>
            </w:r>
            <w:r w:rsidR="00152DFC" w:rsidRPr="004831AB">
              <w:rPr>
                <w:rFonts w:ascii="Times New Roman" w:eastAsia="Calibri" w:hAnsi="Times New Roman" w:cs="Times New Roman"/>
                <w:lang w:val="sr-Cyrl-CS"/>
              </w:rPr>
              <w:t>, као и за обезбеђивање аналитичке основе за спровођење М</w:t>
            </w:r>
            <w:r w:rsidR="009210FA" w:rsidRPr="004831AB">
              <w:rPr>
                <w:rFonts w:ascii="Times New Roman" w:eastAsia="Calibri" w:hAnsi="Times New Roman" w:cs="Times New Roman"/>
                <w:lang w:val="sr-Cyrl-CS"/>
              </w:rPr>
              <w:t>М</w:t>
            </w:r>
            <w:r w:rsidR="00152DFC" w:rsidRPr="004831AB">
              <w:rPr>
                <w:rFonts w:ascii="Times New Roman" w:eastAsia="Calibri" w:hAnsi="Times New Roman" w:cs="Times New Roman"/>
                <w:lang w:val="sr-Cyrl-CS"/>
              </w:rPr>
              <w:t xml:space="preserve">СПП </w:t>
            </w:r>
            <w:r w:rsidR="009210FA" w:rsidRPr="004831AB">
              <w:rPr>
                <w:rFonts w:ascii="Times New Roman" w:eastAsia="Calibri" w:hAnsi="Times New Roman" w:cs="Times New Roman"/>
                <w:lang w:val="sr-Cyrl-CS"/>
              </w:rPr>
              <w:t xml:space="preserve">теста </w:t>
            </w:r>
            <w:r w:rsidR="00152DFC" w:rsidRPr="004831AB">
              <w:rPr>
                <w:rFonts w:ascii="Times New Roman" w:eastAsia="Calibri" w:hAnsi="Times New Roman" w:cs="Times New Roman"/>
                <w:lang w:val="sr-Cyrl-CS"/>
              </w:rPr>
              <w:t>на нивоу групе класификације делатности</w:t>
            </w:r>
            <w:r w:rsidR="00B728B7" w:rsidRPr="004831AB">
              <w:rPr>
                <w:rFonts w:ascii="Times New Roman" w:eastAsia="Calibri" w:hAnsi="Times New Roman" w:cs="Times New Roman"/>
                <w:lang w:val="sr-Cyrl-CS"/>
              </w:rPr>
              <w:t>,</w:t>
            </w:r>
            <w:r w:rsidR="00152DFC" w:rsidRPr="004831AB">
              <w:rPr>
                <w:rFonts w:ascii="Times New Roman" w:eastAsia="Calibri" w:hAnsi="Times New Roman" w:cs="Times New Roman"/>
                <w:lang w:val="sr-Cyrl-CS"/>
              </w:rPr>
              <w:t xml:space="preserve"> ради утврђивања група МСПП на које прописи у припреми имају значајан утицај</w:t>
            </w:r>
            <w:r w:rsidR="00B728B7" w:rsidRPr="004831AB">
              <w:rPr>
                <w:rFonts w:ascii="Times New Roman" w:eastAsia="Calibri" w:hAnsi="Times New Roman" w:cs="Times New Roman"/>
                <w:lang w:val="sr-Cyrl-CS"/>
              </w:rPr>
              <w:t>.</w:t>
            </w:r>
          </w:p>
        </w:tc>
      </w:tr>
      <w:tr w:rsidR="00CE622E" w:rsidRPr="004831AB" w14:paraId="3F67C1CF" w14:textId="77777777" w:rsidTr="00F95A91">
        <w:tc>
          <w:tcPr>
            <w:tcW w:w="1555" w:type="dxa"/>
          </w:tcPr>
          <w:p w14:paraId="3889DF95" w14:textId="77777777" w:rsidR="00CE622E" w:rsidRPr="004831AB" w:rsidRDefault="00CE622E" w:rsidP="00CE622E">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Ефекти мере</w:t>
            </w:r>
          </w:p>
        </w:tc>
        <w:tc>
          <w:tcPr>
            <w:tcW w:w="7795" w:type="dxa"/>
            <w:gridSpan w:val="4"/>
          </w:tcPr>
          <w:p w14:paraId="1C5336BD" w14:textId="647DEC0A" w:rsidR="00CE622E" w:rsidRPr="004831AB" w:rsidRDefault="00CE622E" w:rsidP="00152DFC">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Примена ове мере </w:t>
            </w:r>
            <w:r w:rsidR="00496FDE" w:rsidRPr="004831AB">
              <w:rPr>
                <w:rFonts w:ascii="Times New Roman" w:eastAsia="Calibri" w:hAnsi="Times New Roman" w:cs="Times New Roman"/>
                <w:lang w:val="sr-Cyrl-CS"/>
              </w:rPr>
              <w:t>довешће</w:t>
            </w:r>
            <w:r w:rsidRPr="004831AB">
              <w:rPr>
                <w:rFonts w:ascii="Times New Roman" w:eastAsia="Calibri" w:hAnsi="Times New Roman" w:cs="Times New Roman"/>
                <w:lang w:val="sr-Cyrl-CS"/>
              </w:rPr>
              <w:t xml:space="preserve"> до двојаких ефеката. Са једне стране </w:t>
            </w:r>
            <w:r w:rsidR="00496FDE" w:rsidRPr="004831AB">
              <w:rPr>
                <w:rFonts w:ascii="Times New Roman" w:eastAsia="Calibri" w:hAnsi="Times New Roman" w:cs="Times New Roman"/>
                <w:lang w:val="sr-Cyrl-CS"/>
              </w:rPr>
              <w:t>биће</w:t>
            </w:r>
            <w:r w:rsidRPr="004831AB">
              <w:rPr>
                <w:rFonts w:ascii="Times New Roman" w:eastAsia="Calibri" w:hAnsi="Times New Roman" w:cs="Times New Roman"/>
                <w:lang w:val="sr-Cyrl-CS"/>
              </w:rPr>
              <w:t xml:space="preserve"> ојачани капацитети </w:t>
            </w:r>
            <w:r w:rsidR="00496FDE" w:rsidRPr="004831AB">
              <w:rPr>
                <w:rFonts w:ascii="Times New Roman" w:eastAsia="Calibri" w:hAnsi="Times New Roman" w:cs="Times New Roman"/>
                <w:lang w:val="sr-Cyrl-CS"/>
              </w:rPr>
              <w:t>институција за спровођење</w:t>
            </w:r>
            <w:r w:rsidRPr="004831AB">
              <w:rPr>
                <w:rFonts w:ascii="Times New Roman" w:eastAsia="Calibri" w:hAnsi="Times New Roman" w:cs="Times New Roman"/>
                <w:lang w:val="sr-Cyrl-CS"/>
              </w:rPr>
              <w:t xml:space="preserve"> политик</w:t>
            </w:r>
            <w:r w:rsidR="00496FDE" w:rsidRPr="004831AB">
              <w:rPr>
                <w:rFonts w:ascii="Times New Roman" w:eastAsia="Calibri" w:hAnsi="Times New Roman" w:cs="Times New Roman"/>
                <w:lang w:val="sr-Cyrl-CS"/>
              </w:rPr>
              <w:t>е и програма МСПП</w:t>
            </w:r>
            <w:r w:rsidRPr="004831AB">
              <w:rPr>
                <w:rFonts w:ascii="Times New Roman" w:eastAsia="Calibri" w:hAnsi="Times New Roman" w:cs="Times New Roman"/>
                <w:lang w:val="sr-Cyrl-CS"/>
              </w:rPr>
              <w:t xml:space="preserve"> које директно утичу на сектор кроз оснаживање јавних фондова и агенција задужених за економски развој</w:t>
            </w:r>
            <w:r w:rsidR="0098227E" w:rsidRPr="004831AB">
              <w:rPr>
                <w:rFonts w:ascii="Times New Roman" w:eastAsia="Calibri" w:hAnsi="Times New Roman" w:cs="Times New Roman"/>
                <w:lang w:val="sr-Cyrl-CS"/>
              </w:rPr>
              <w:t xml:space="preserve"> МСПП од оснивања, развоја</w:t>
            </w:r>
            <w:r w:rsidRPr="004831AB">
              <w:rPr>
                <w:rFonts w:ascii="Times New Roman" w:eastAsia="Calibri" w:hAnsi="Times New Roman" w:cs="Times New Roman"/>
                <w:lang w:val="sr-Cyrl-CS"/>
              </w:rPr>
              <w:t xml:space="preserve"> и </w:t>
            </w:r>
            <w:r w:rsidR="0098227E" w:rsidRPr="004831AB">
              <w:rPr>
                <w:rFonts w:ascii="Times New Roman" w:eastAsia="Calibri" w:hAnsi="Times New Roman" w:cs="Times New Roman"/>
                <w:lang w:val="sr-Cyrl-CS"/>
              </w:rPr>
              <w:t>интернационализације пословања</w:t>
            </w:r>
            <w:r w:rsidRPr="004831AB">
              <w:rPr>
                <w:rFonts w:ascii="Times New Roman" w:eastAsia="Calibri" w:hAnsi="Times New Roman" w:cs="Times New Roman"/>
                <w:lang w:val="sr-Cyrl-CS"/>
              </w:rPr>
              <w:t>.</w:t>
            </w:r>
            <w:r w:rsidR="00496FDE" w:rsidRPr="004831AB">
              <w:rPr>
                <w:rFonts w:ascii="Times New Roman" w:eastAsia="Calibri" w:hAnsi="Times New Roman" w:cs="Times New Roman"/>
                <w:lang w:val="sr-Cyrl-CS"/>
              </w:rPr>
              <w:t xml:space="preserve"> Такође, повећаће се вертикална повезаност и усклађеност подршке сектору МСПП.</w:t>
            </w:r>
            <w:r w:rsidRPr="004831AB">
              <w:rPr>
                <w:rFonts w:ascii="Times New Roman" w:eastAsia="Calibri" w:hAnsi="Times New Roman" w:cs="Times New Roman"/>
                <w:lang w:val="sr-Cyrl-CS"/>
              </w:rPr>
              <w:t xml:space="preserve"> Са друге стране, реализација мере </w:t>
            </w:r>
            <w:r w:rsidR="00496FDE" w:rsidRPr="004831AB">
              <w:rPr>
                <w:rFonts w:ascii="Times New Roman" w:eastAsia="Calibri" w:hAnsi="Times New Roman" w:cs="Times New Roman"/>
                <w:lang w:val="sr-Cyrl-CS"/>
              </w:rPr>
              <w:t xml:space="preserve">ће </w:t>
            </w:r>
            <w:r w:rsidRPr="004831AB">
              <w:rPr>
                <w:rFonts w:ascii="Times New Roman" w:eastAsia="Calibri" w:hAnsi="Times New Roman" w:cs="Times New Roman"/>
                <w:lang w:val="sr-Cyrl-CS"/>
              </w:rPr>
              <w:t>омогући</w:t>
            </w:r>
            <w:r w:rsidR="00496FDE" w:rsidRPr="004831AB">
              <w:rPr>
                <w:rFonts w:ascii="Times New Roman" w:eastAsia="Calibri" w:hAnsi="Times New Roman" w:cs="Times New Roman"/>
                <w:lang w:val="sr-Cyrl-CS"/>
              </w:rPr>
              <w:t>ти</w:t>
            </w:r>
            <w:r w:rsidRPr="004831AB">
              <w:rPr>
                <w:rFonts w:ascii="Times New Roman" w:eastAsia="Calibri" w:hAnsi="Times New Roman" w:cs="Times New Roman"/>
                <w:lang w:val="sr-Cyrl-CS"/>
              </w:rPr>
              <w:t xml:space="preserve"> унапређени </w:t>
            </w:r>
            <w:r w:rsidR="00BD56F8" w:rsidRPr="004831AB">
              <w:rPr>
                <w:rFonts w:ascii="Times New Roman" w:eastAsia="Calibri" w:hAnsi="Times New Roman" w:cs="Times New Roman"/>
                <w:lang w:val="sr-Cyrl-CS"/>
              </w:rPr>
              <w:t xml:space="preserve">дијалог са МСПП, </w:t>
            </w:r>
            <w:r w:rsidRPr="004831AB">
              <w:rPr>
                <w:rFonts w:ascii="Times New Roman" w:eastAsia="Calibri" w:hAnsi="Times New Roman" w:cs="Times New Roman"/>
                <w:lang w:val="sr-Cyrl-CS"/>
              </w:rPr>
              <w:t>статистичк</w:t>
            </w:r>
            <w:r w:rsidR="00BD56F8" w:rsidRPr="004831AB">
              <w:rPr>
                <w:rFonts w:ascii="Times New Roman" w:eastAsia="Calibri" w:hAnsi="Times New Roman" w:cs="Times New Roman"/>
                <w:lang w:val="sr-Cyrl-CS"/>
              </w:rPr>
              <w:t>о</w:t>
            </w:r>
            <w:r w:rsidRPr="004831AB">
              <w:rPr>
                <w:rFonts w:ascii="Times New Roman" w:eastAsia="Calibri" w:hAnsi="Times New Roman" w:cs="Times New Roman"/>
                <w:lang w:val="sr-Cyrl-CS"/>
              </w:rPr>
              <w:t xml:space="preserve"> </w:t>
            </w:r>
            <w:r w:rsidR="00BD56F8" w:rsidRPr="004831AB">
              <w:rPr>
                <w:rFonts w:ascii="Times New Roman" w:eastAsia="Calibri" w:hAnsi="Times New Roman" w:cs="Times New Roman"/>
                <w:lang w:val="sr-Cyrl-CS"/>
              </w:rPr>
              <w:t>праћење</w:t>
            </w:r>
            <w:r w:rsidRPr="004831AB">
              <w:rPr>
                <w:rFonts w:ascii="Times New Roman" w:eastAsia="Calibri" w:hAnsi="Times New Roman" w:cs="Times New Roman"/>
                <w:lang w:val="sr-Cyrl-CS"/>
              </w:rPr>
              <w:t xml:space="preserve"> и бољу подлогу за креирање политика МСПП сектора</w:t>
            </w:r>
            <w:r w:rsidR="00152DFC" w:rsidRPr="004831AB">
              <w:rPr>
                <w:rFonts w:ascii="Times New Roman" w:eastAsia="Calibri" w:hAnsi="Times New Roman" w:cs="Times New Roman"/>
                <w:lang w:val="sr-Cyrl-CS"/>
              </w:rPr>
              <w:t>, као и на чињеницама засновано утврђивање група МСПП на које прописи у припреми имају значајан утицај.</w:t>
            </w:r>
          </w:p>
        </w:tc>
      </w:tr>
    </w:tbl>
    <w:p w14:paraId="0A82F12D" w14:textId="77777777" w:rsidR="00837526" w:rsidRPr="004831AB" w:rsidRDefault="00837526" w:rsidP="00DF4ACC">
      <w:pPr>
        <w:tabs>
          <w:tab w:val="left" w:pos="990"/>
        </w:tabs>
        <w:spacing w:after="240" w:line="240" w:lineRule="auto"/>
        <w:jc w:val="both"/>
        <w:rPr>
          <w:rFonts w:ascii="Times New Roman" w:hAnsi="Times New Roman"/>
          <w:sz w:val="24"/>
          <w:szCs w:val="24"/>
          <w:lang w:val="sr-Cyrl-CS"/>
        </w:rPr>
      </w:pPr>
    </w:p>
    <w:p w14:paraId="5C6B100E" w14:textId="22D2AAF8" w:rsidR="00CE622E" w:rsidRPr="004831AB" w:rsidRDefault="00837526" w:rsidP="008B15FE">
      <w:pPr>
        <w:pStyle w:val="Heading2"/>
        <w:jc w:val="center"/>
        <w:rPr>
          <w:b w:val="0"/>
          <w:lang w:val="sr-Cyrl-CS"/>
        </w:rPr>
      </w:pPr>
      <w:r w:rsidRPr="004831AB">
        <w:rPr>
          <w:rStyle w:val="Heading2Char"/>
          <w:lang w:val="sr-Cyrl-CS"/>
        </w:rPr>
        <w:t xml:space="preserve">Посебан циљ II: </w:t>
      </w:r>
      <w:r w:rsidR="00381BCB" w:rsidRPr="004831AB">
        <w:rPr>
          <w:rStyle w:val="Heading2Char"/>
          <w:lang w:val="sr-Cyrl-CS"/>
        </w:rPr>
        <w:t xml:space="preserve">Иновативан, зелени и на дигитализацији заснован развој </w:t>
      </w:r>
      <w:r w:rsidR="00F95A91" w:rsidRPr="004831AB">
        <w:rPr>
          <w:rStyle w:val="Heading2Char"/>
          <w:lang w:val="sr-Cyrl-CS"/>
        </w:rPr>
        <w:t xml:space="preserve">- </w:t>
      </w:r>
      <w:r w:rsidR="00381BCB" w:rsidRPr="004831AB">
        <w:rPr>
          <w:rStyle w:val="Heading2Char"/>
          <w:lang w:val="sr-Cyrl-CS"/>
        </w:rPr>
        <w:t>сектор МСПП као носи</w:t>
      </w:r>
      <w:r w:rsidR="0074442F" w:rsidRPr="004831AB">
        <w:rPr>
          <w:rStyle w:val="Heading2Char"/>
          <w:lang w:val="sr-Cyrl-CS"/>
        </w:rPr>
        <w:t>лац</w:t>
      </w:r>
      <w:r w:rsidR="00381BCB" w:rsidRPr="004831AB">
        <w:rPr>
          <w:rStyle w:val="Heading2Char"/>
          <w:lang w:val="sr-Cyrl-CS"/>
        </w:rPr>
        <w:t xml:space="preserve"> убрзане трансформације</w:t>
      </w:r>
    </w:p>
    <w:p w14:paraId="1253D895" w14:textId="4DD52728" w:rsidR="00CE622E" w:rsidRPr="004831AB" w:rsidRDefault="00CE622E" w:rsidP="00AA2D3E">
      <w:pPr>
        <w:pStyle w:val="Heading3"/>
        <w:rPr>
          <w:rFonts w:eastAsia="Times New Roman"/>
          <w:bCs/>
          <w:lang w:val="sr-Cyrl-CS"/>
        </w:rPr>
      </w:pPr>
      <w:r w:rsidRPr="004831AB">
        <w:rPr>
          <w:rFonts w:eastAsia="Times New Roman"/>
          <w:bCs/>
          <w:lang w:val="sr-Cyrl-CS"/>
        </w:rPr>
        <w:t xml:space="preserve">Мера 2.1: </w:t>
      </w:r>
      <w:r w:rsidR="001D2245" w:rsidRPr="004831AB">
        <w:rPr>
          <w:rFonts w:eastAsia="Times New Roman"/>
          <w:bCs/>
          <w:lang w:val="sr-Cyrl-CS"/>
        </w:rPr>
        <w:t xml:space="preserve"> Унапређе</w:t>
      </w:r>
      <w:r w:rsidR="0056799A" w:rsidRPr="004831AB">
        <w:rPr>
          <w:rFonts w:eastAsia="Times New Roman"/>
          <w:bCs/>
          <w:lang w:val="sr-Cyrl-CS"/>
        </w:rPr>
        <w:t>ње</w:t>
      </w:r>
      <w:r w:rsidR="0074442F" w:rsidRPr="004831AB">
        <w:rPr>
          <w:rFonts w:eastAsia="Times New Roman"/>
          <w:bCs/>
          <w:lang w:val="sr-Cyrl-CS"/>
        </w:rPr>
        <w:t xml:space="preserve"> иновативн</w:t>
      </w:r>
      <w:r w:rsidR="00CE03D0" w:rsidRPr="004831AB">
        <w:rPr>
          <w:rFonts w:eastAsia="Times New Roman"/>
          <w:bCs/>
          <w:lang w:val="sr-Cyrl-CS"/>
        </w:rPr>
        <w:t>и</w:t>
      </w:r>
      <w:r w:rsidR="0056799A" w:rsidRPr="004831AB">
        <w:rPr>
          <w:rFonts w:eastAsia="Times New Roman"/>
          <w:bCs/>
          <w:lang w:val="sr-Cyrl-CS"/>
        </w:rPr>
        <w:t>х</w:t>
      </w:r>
      <w:r w:rsidR="00CE03D0" w:rsidRPr="004831AB">
        <w:rPr>
          <w:rFonts w:eastAsia="Times New Roman"/>
          <w:bCs/>
          <w:lang w:val="sr-Cyrl-CS"/>
        </w:rPr>
        <w:t xml:space="preserve"> капацитет</w:t>
      </w:r>
      <w:r w:rsidR="0056799A" w:rsidRPr="004831AB">
        <w:rPr>
          <w:rFonts w:eastAsia="Times New Roman"/>
          <w:bCs/>
          <w:lang w:val="sr-Cyrl-CS"/>
        </w:rPr>
        <w:t>а</w:t>
      </w:r>
      <w:r w:rsidR="00A26D5F" w:rsidRPr="004831AB">
        <w:rPr>
          <w:rFonts w:eastAsia="Times New Roman"/>
          <w:bCs/>
          <w:lang w:val="sr-Cyrl-CS"/>
        </w:rPr>
        <w:t xml:space="preserve"> МСП </w:t>
      </w:r>
    </w:p>
    <w:tbl>
      <w:tblPr>
        <w:tblStyle w:val="TableGrid"/>
        <w:tblW w:w="0" w:type="auto"/>
        <w:tblLook w:val="04A0" w:firstRow="1" w:lastRow="0" w:firstColumn="1" w:lastColumn="0" w:noHBand="0" w:noVBand="1"/>
      </w:tblPr>
      <w:tblGrid>
        <w:gridCol w:w="1555"/>
        <w:gridCol w:w="3402"/>
        <w:gridCol w:w="1464"/>
        <w:gridCol w:w="1464"/>
        <w:gridCol w:w="1465"/>
      </w:tblGrid>
      <w:tr w:rsidR="0056799A" w:rsidRPr="004831AB" w14:paraId="3D94FE60" w14:textId="77777777" w:rsidTr="001F3BDC">
        <w:tc>
          <w:tcPr>
            <w:tcW w:w="1555" w:type="dxa"/>
          </w:tcPr>
          <w:p w14:paraId="35A88A65" w14:textId="77777777" w:rsidR="0056799A" w:rsidRPr="004831AB" w:rsidRDefault="0056799A" w:rsidP="0056799A">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402" w:type="dxa"/>
          </w:tcPr>
          <w:p w14:paraId="1DD21C5C"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464" w:type="dxa"/>
          </w:tcPr>
          <w:p w14:paraId="2096BCD5"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2929" w:type="dxa"/>
            <w:gridSpan w:val="2"/>
          </w:tcPr>
          <w:p w14:paraId="51D6EED3"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8A392B" w:rsidRPr="004831AB" w14:paraId="6DC9D34B" w14:textId="77777777" w:rsidTr="001F3BDC">
        <w:tc>
          <w:tcPr>
            <w:tcW w:w="1555" w:type="dxa"/>
          </w:tcPr>
          <w:p w14:paraId="17EF8E08"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402" w:type="dxa"/>
          </w:tcPr>
          <w:p w14:paraId="5C28849F"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464" w:type="dxa"/>
          </w:tcPr>
          <w:p w14:paraId="1974BF0D"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464" w:type="dxa"/>
          </w:tcPr>
          <w:p w14:paraId="2ED20FCB"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465" w:type="dxa"/>
          </w:tcPr>
          <w:p w14:paraId="4BB4AFD1"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8A392B" w:rsidRPr="004831AB" w14:paraId="5ADBE3E9" w14:textId="77777777" w:rsidTr="001F3BDC">
        <w:tc>
          <w:tcPr>
            <w:tcW w:w="1555" w:type="dxa"/>
          </w:tcPr>
          <w:p w14:paraId="72BBD370" w14:textId="77777777" w:rsidR="008A392B" w:rsidRPr="004831AB" w:rsidRDefault="008A392B"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402" w:type="dxa"/>
          </w:tcPr>
          <w:p w14:paraId="2AAB5ECF" w14:textId="4E2D5C13" w:rsidR="008A392B" w:rsidRPr="004831AB" w:rsidRDefault="008A392B" w:rsidP="00AC26E7">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Број подржаних пројеката МСП кроз </w:t>
            </w:r>
            <w:r w:rsidR="00AC26E7" w:rsidRPr="004831AB">
              <w:rPr>
                <w:rFonts w:ascii="Times New Roman" w:eastAsia="Calibri" w:hAnsi="Times New Roman" w:cs="Times New Roman"/>
                <w:lang w:val="sr-Cyrl-CS"/>
              </w:rPr>
              <w:t xml:space="preserve">програме </w:t>
            </w:r>
            <w:r w:rsidRPr="004831AB">
              <w:rPr>
                <w:rFonts w:ascii="Times New Roman" w:eastAsia="Calibri" w:hAnsi="Times New Roman" w:cs="Times New Roman"/>
                <w:lang w:val="sr-Cyrl-CS"/>
              </w:rPr>
              <w:t>Фонда за иновациону делатност</w:t>
            </w:r>
          </w:p>
        </w:tc>
        <w:tc>
          <w:tcPr>
            <w:tcW w:w="1464" w:type="dxa"/>
          </w:tcPr>
          <w:p w14:paraId="0B60ED11" w14:textId="77777777" w:rsidR="008A392B" w:rsidRPr="004831AB" w:rsidRDefault="008A392B" w:rsidP="00CE622E">
            <w:pPr>
              <w:rPr>
                <w:rFonts w:ascii="Times New Roman" w:eastAsia="Calibri" w:hAnsi="Times New Roman" w:cs="Times New Roman"/>
                <w:lang w:val="sr-Cyrl-CS"/>
              </w:rPr>
            </w:pPr>
            <w:r w:rsidRPr="004831AB">
              <w:rPr>
                <w:rStyle w:val="normaltextrun"/>
                <w:rFonts w:ascii="Times New Roman" w:hAnsi="Times New Roman" w:cs="Times New Roman"/>
                <w:color w:val="000000"/>
                <w:shd w:val="clear" w:color="auto" w:fill="FFFFFF"/>
                <w:lang w:val="sr-Cyrl-CS"/>
              </w:rPr>
              <w:t>Извештаји Фонда за иновациону делатност</w:t>
            </w:r>
          </w:p>
        </w:tc>
        <w:tc>
          <w:tcPr>
            <w:tcW w:w="1464" w:type="dxa"/>
          </w:tcPr>
          <w:p w14:paraId="20734BB1" w14:textId="3D321ED1" w:rsidR="008A392B" w:rsidRPr="004831AB" w:rsidRDefault="00F757C7" w:rsidP="00AC26E7">
            <w:pPr>
              <w:rPr>
                <w:rFonts w:ascii="Times New Roman" w:eastAsia="Calibri" w:hAnsi="Times New Roman" w:cs="Times New Roman"/>
                <w:lang w:val="sr-Cyrl-CS"/>
              </w:rPr>
            </w:pPr>
            <w:r w:rsidRPr="004831AB">
              <w:rPr>
                <w:rFonts w:ascii="Times New Roman" w:eastAsia="Calibri" w:hAnsi="Times New Roman" w:cs="Times New Roman"/>
                <w:lang w:val="sr-Cyrl-CS"/>
              </w:rPr>
              <w:t>1.</w:t>
            </w:r>
            <w:r w:rsidR="00AC26E7" w:rsidRPr="004831AB">
              <w:rPr>
                <w:rFonts w:ascii="Times New Roman" w:eastAsia="Calibri" w:hAnsi="Times New Roman" w:cs="Times New Roman"/>
                <w:lang w:val="sr-Cyrl-CS"/>
              </w:rPr>
              <w:t xml:space="preserve">479 </w:t>
            </w:r>
            <w:r w:rsidRPr="004831AB">
              <w:rPr>
                <w:rFonts w:ascii="Times New Roman" w:eastAsia="Calibri" w:hAnsi="Times New Roman" w:cs="Times New Roman"/>
                <w:lang w:val="sr-Cyrl-CS"/>
              </w:rPr>
              <w:t>(</w:t>
            </w:r>
            <w:hyperlink r:id="rId18" w:history="1">
              <w:r w:rsidRPr="004831AB">
                <w:rPr>
                  <w:rFonts w:ascii="Times New Roman" w:eastAsia="Calibri" w:hAnsi="Times New Roman" w:cs="Times New Roman"/>
                  <w:lang w:val="sr-Cyrl-CS"/>
                </w:rPr>
                <w:t>2022</w:t>
              </w:r>
            </w:hyperlink>
            <w:r w:rsidRPr="004831AB">
              <w:rPr>
                <w:rFonts w:ascii="Times New Roman" w:eastAsia="Calibri" w:hAnsi="Times New Roman" w:cs="Times New Roman"/>
                <w:lang w:val="sr-Cyrl-CS"/>
              </w:rPr>
              <w:t>)</w:t>
            </w:r>
          </w:p>
        </w:tc>
        <w:tc>
          <w:tcPr>
            <w:tcW w:w="1465" w:type="dxa"/>
          </w:tcPr>
          <w:p w14:paraId="022B86B8" w14:textId="77777777" w:rsidR="008A392B" w:rsidRPr="004831AB" w:rsidRDefault="00F757C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2</w:t>
            </w:r>
            <w:r w:rsidR="0056799A"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200 (2027)</w:t>
            </w:r>
          </w:p>
        </w:tc>
      </w:tr>
      <w:tr w:rsidR="00CE622E" w:rsidRPr="004831AB" w14:paraId="5C18ED17" w14:textId="77777777" w:rsidTr="00F95A91">
        <w:tc>
          <w:tcPr>
            <w:tcW w:w="1555" w:type="dxa"/>
          </w:tcPr>
          <w:p w14:paraId="40C33BC9"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795" w:type="dxa"/>
            <w:gridSpan w:val="4"/>
          </w:tcPr>
          <w:p w14:paraId="1CD96C35" w14:textId="569B4B90" w:rsidR="00CE622E" w:rsidRPr="004831AB" w:rsidRDefault="00CE622E" w:rsidP="00313724">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Иновативност и </w:t>
            </w:r>
            <w:r w:rsidR="00C82FB2" w:rsidRPr="004831AB">
              <w:rPr>
                <w:rFonts w:ascii="Times New Roman" w:eastAsia="Calibri" w:hAnsi="Times New Roman" w:cs="Times New Roman"/>
                <w:lang w:val="sr-Cyrl-CS"/>
              </w:rPr>
              <w:t>спремност</w:t>
            </w:r>
            <w:r w:rsidR="00BD56F8" w:rsidRPr="004831AB">
              <w:rPr>
                <w:rFonts w:ascii="Times New Roman" w:eastAsia="Calibri" w:hAnsi="Times New Roman" w:cs="Times New Roman"/>
                <w:lang w:val="sr-Cyrl-CS"/>
              </w:rPr>
              <w:t xml:space="preserve"> на иновације</w:t>
            </w:r>
            <w:r w:rsidR="00C82FB2"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сектора </w:t>
            </w:r>
            <w:r w:rsidR="00F272B8" w:rsidRPr="004831AB">
              <w:rPr>
                <w:rFonts w:ascii="Times New Roman" w:eastAsia="Calibri" w:hAnsi="Times New Roman" w:cs="Times New Roman"/>
                <w:lang w:val="sr-Cyrl-CS"/>
              </w:rPr>
              <w:t xml:space="preserve">МСПП </w:t>
            </w:r>
            <w:r w:rsidRPr="004831AB">
              <w:rPr>
                <w:rFonts w:ascii="Times New Roman" w:eastAsia="Calibri" w:hAnsi="Times New Roman" w:cs="Times New Roman"/>
                <w:lang w:val="sr-Cyrl-CS"/>
              </w:rPr>
              <w:t>утиче на њихову конкурентност на домаћем и иностраном тржишту</w:t>
            </w:r>
            <w:r w:rsidR="00F272B8" w:rsidRPr="004831AB">
              <w:rPr>
                <w:rFonts w:ascii="Times New Roman" w:eastAsia="Calibri" w:hAnsi="Times New Roman" w:cs="Times New Roman"/>
                <w:lang w:val="sr-Cyrl-CS"/>
              </w:rPr>
              <w:t xml:space="preserve">. </w:t>
            </w:r>
            <w:r w:rsidR="00CE03D0" w:rsidRPr="004831AB">
              <w:rPr>
                <w:rFonts w:ascii="Times New Roman" w:eastAsia="Calibri" w:hAnsi="Times New Roman" w:cs="Times New Roman"/>
                <w:lang w:val="sr-Cyrl-CS"/>
              </w:rPr>
              <w:t xml:space="preserve">Циљ ове мере је да се </w:t>
            </w:r>
            <w:r w:rsidR="00F272B8" w:rsidRPr="004831AB">
              <w:rPr>
                <w:rFonts w:ascii="Times New Roman" w:eastAsia="Calibri" w:hAnsi="Times New Roman" w:cs="Times New Roman"/>
                <w:lang w:val="sr-Cyrl-CS"/>
              </w:rPr>
              <w:t xml:space="preserve">подигну </w:t>
            </w:r>
            <w:r w:rsidR="006612A0" w:rsidRPr="004831AB">
              <w:rPr>
                <w:rFonts w:ascii="Times New Roman" w:eastAsia="Calibri" w:hAnsi="Times New Roman" w:cs="Times New Roman"/>
                <w:lang w:val="sr-Cyrl-CS"/>
              </w:rPr>
              <w:t xml:space="preserve">иновативни капацитети МСПП и унапреди подршка за реализацију пројеката комерцијализације иновација, по питању доступности али и </w:t>
            </w:r>
            <w:r w:rsidR="00BD56F8" w:rsidRPr="004831AB">
              <w:rPr>
                <w:rFonts w:ascii="Times New Roman" w:eastAsia="Calibri" w:hAnsi="Times New Roman" w:cs="Times New Roman"/>
                <w:lang w:val="sr-Cyrl-CS"/>
              </w:rPr>
              <w:t>обухвата</w:t>
            </w:r>
            <w:r w:rsidR="006612A0" w:rsidRPr="004831AB">
              <w:rPr>
                <w:rFonts w:ascii="Times New Roman" w:eastAsia="Calibri" w:hAnsi="Times New Roman" w:cs="Times New Roman"/>
                <w:lang w:val="sr-Cyrl-CS"/>
              </w:rPr>
              <w:t xml:space="preserve">. Мера подразумева реализацију програма Фонда за иновациону делатност који </w:t>
            </w:r>
            <w:r w:rsidR="00313724" w:rsidRPr="004831AB">
              <w:rPr>
                <w:rFonts w:ascii="Times New Roman" w:eastAsia="Calibri" w:hAnsi="Times New Roman" w:cs="Times New Roman"/>
                <w:lang w:val="sr-Cyrl-CS"/>
              </w:rPr>
              <w:t xml:space="preserve"> подржавају </w:t>
            </w:r>
            <w:r w:rsidR="006612A0" w:rsidRPr="004831AB">
              <w:rPr>
                <w:rFonts w:ascii="Times New Roman" w:eastAsia="Calibri" w:hAnsi="Times New Roman" w:cs="Times New Roman"/>
                <w:lang w:val="sr-Cyrl-CS"/>
              </w:rPr>
              <w:t>иновације у МСПП. Такође, обухвата и промоцију програма ЕУ који подстичу иновативност (Хоризонт Европе), као и едукацију МСПП о могућностима и начину коришћења тих средстава.</w:t>
            </w:r>
            <w:r w:rsidR="00CE03D0" w:rsidRPr="004831AB">
              <w:rPr>
                <w:rFonts w:ascii="Times New Roman" w:eastAsia="Calibri" w:hAnsi="Times New Roman" w:cs="Times New Roman"/>
                <w:lang w:val="sr-Cyrl-CS"/>
              </w:rPr>
              <w:t xml:space="preserve"> </w:t>
            </w:r>
            <w:r w:rsidR="00FB6B5B" w:rsidRPr="004831AB">
              <w:rPr>
                <w:rFonts w:ascii="Times New Roman" w:eastAsia="Calibri" w:hAnsi="Times New Roman" w:cs="Times New Roman"/>
                <w:lang w:val="sr-Cyrl-CS"/>
              </w:rPr>
              <w:t>Ова мера ће</w:t>
            </w:r>
            <w:r w:rsidR="00160A70" w:rsidRPr="004831AB">
              <w:rPr>
                <w:rFonts w:ascii="Times New Roman" w:eastAsia="Calibri" w:hAnsi="Times New Roman" w:cs="Times New Roman"/>
                <w:lang w:val="sr-Cyrl-CS"/>
              </w:rPr>
              <w:t xml:space="preserve"> се спроводити </w:t>
            </w:r>
            <w:r w:rsidR="00FB6B5B" w:rsidRPr="004831AB">
              <w:rPr>
                <w:rFonts w:ascii="Times New Roman" w:eastAsia="Calibri" w:hAnsi="Times New Roman" w:cs="Times New Roman"/>
                <w:lang w:val="sr-Cyrl-CS"/>
              </w:rPr>
              <w:t xml:space="preserve"> као комплементарна, јер је у садржајном смислу развој иновација обухваћен и другим политикама, а пре свега </w:t>
            </w:r>
            <w:r w:rsidR="00E54606" w:rsidRPr="004831AB">
              <w:rPr>
                <w:rFonts w:ascii="Times New Roman" w:eastAsia="Calibri" w:hAnsi="Times New Roman" w:cs="Times New Roman"/>
                <w:lang w:val="sr-Cyrl-CS"/>
              </w:rPr>
              <w:t xml:space="preserve">Стратегијом </w:t>
            </w:r>
            <w:r w:rsidR="00FB6B5B" w:rsidRPr="004831AB">
              <w:rPr>
                <w:rFonts w:ascii="Times New Roman" w:eastAsia="Calibri" w:hAnsi="Times New Roman" w:cs="Times New Roman"/>
                <w:lang w:val="sr-Cyrl-CS"/>
              </w:rPr>
              <w:t xml:space="preserve">паметне специјализације. </w:t>
            </w:r>
          </w:p>
        </w:tc>
      </w:tr>
      <w:tr w:rsidR="00CE622E" w:rsidRPr="004831AB" w14:paraId="308C68B6" w14:textId="77777777" w:rsidTr="00F95A91">
        <w:tc>
          <w:tcPr>
            <w:tcW w:w="1555" w:type="dxa"/>
          </w:tcPr>
          <w:p w14:paraId="434C8244"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795" w:type="dxa"/>
            <w:gridSpan w:val="4"/>
          </w:tcPr>
          <w:p w14:paraId="692E4EA8" w14:textId="643F5E43" w:rsidR="00CE622E" w:rsidRPr="004831AB" w:rsidRDefault="00CE622E" w:rsidP="00A01244">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Главни ефекат ове мере је </w:t>
            </w:r>
            <w:r w:rsidR="006612A0" w:rsidRPr="004831AB">
              <w:rPr>
                <w:rFonts w:ascii="Times New Roman" w:eastAsia="Calibri" w:hAnsi="Times New Roman" w:cs="Times New Roman"/>
                <w:lang w:val="sr-Cyrl-CS"/>
              </w:rPr>
              <w:t>подизање</w:t>
            </w:r>
            <w:r w:rsidRPr="004831AB">
              <w:rPr>
                <w:rFonts w:ascii="Times New Roman" w:eastAsia="Calibri" w:hAnsi="Times New Roman" w:cs="Times New Roman"/>
                <w:lang w:val="sr-Cyrl-CS"/>
              </w:rPr>
              <w:t xml:space="preserve"> иновативн</w:t>
            </w:r>
            <w:r w:rsidR="006612A0" w:rsidRPr="004831AB">
              <w:rPr>
                <w:rFonts w:ascii="Times New Roman" w:eastAsia="Calibri" w:hAnsi="Times New Roman" w:cs="Times New Roman"/>
                <w:lang w:val="sr-Cyrl-CS"/>
              </w:rPr>
              <w:t>ог</w:t>
            </w:r>
            <w:r w:rsidRPr="004831AB">
              <w:rPr>
                <w:rFonts w:ascii="Times New Roman" w:eastAsia="Calibri" w:hAnsi="Times New Roman" w:cs="Times New Roman"/>
                <w:lang w:val="sr-Cyrl-CS"/>
              </w:rPr>
              <w:t xml:space="preserve"> капацитет</w:t>
            </w:r>
            <w:r w:rsidR="006612A0" w:rsidRPr="004831AB">
              <w:rPr>
                <w:rFonts w:ascii="Times New Roman" w:eastAsia="Calibri" w:hAnsi="Times New Roman" w:cs="Times New Roman"/>
                <w:lang w:val="sr-Cyrl-CS"/>
              </w:rPr>
              <w:t>а</w:t>
            </w:r>
            <w:r w:rsidRPr="004831AB">
              <w:rPr>
                <w:rFonts w:ascii="Times New Roman" w:eastAsia="Calibri" w:hAnsi="Times New Roman" w:cs="Times New Roman"/>
                <w:lang w:val="sr-Cyrl-CS"/>
              </w:rPr>
              <w:t xml:space="preserve"> и иновативн</w:t>
            </w:r>
            <w:r w:rsidR="006612A0" w:rsidRPr="004831AB">
              <w:rPr>
                <w:rFonts w:ascii="Times New Roman" w:eastAsia="Calibri" w:hAnsi="Times New Roman" w:cs="Times New Roman"/>
                <w:lang w:val="sr-Cyrl-CS"/>
              </w:rPr>
              <w:t>е</w:t>
            </w:r>
            <w:r w:rsidRPr="004831AB">
              <w:rPr>
                <w:rFonts w:ascii="Times New Roman" w:eastAsia="Calibri" w:hAnsi="Times New Roman" w:cs="Times New Roman"/>
                <w:lang w:val="sr-Cyrl-CS"/>
              </w:rPr>
              <w:t xml:space="preserve"> спремност</w:t>
            </w:r>
            <w:r w:rsidR="006612A0" w:rsidRPr="004831AB">
              <w:rPr>
                <w:rFonts w:ascii="Times New Roman" w:eastAsia="Calibri" w:hAnsi="Times New Roman" w:cs="Times New Roman"/>
                <w:lang w:val="sr-Cyrl-CS"/>
              </w:rPr>
              <w:t>и</w:t>
            </w:r>
            <w:r w:rsidRPr="004831AB">
              <w:rPr>
                <w:rFonts w:ascii="Times New Roman" w:eastAsia="Calibri" w:hAnsi="Times New Roman" w:cs="Times New Roman"/>
                <w:lang w:val="sr-Cyrl-CS"/>
              </w:rPr>
              <w:t xml:space="preserve"> МСПП сектора у </w:t>
            </w:r>
            <w:r w:rsidR="00C566B3" w:rsidRPr="004831AB">
              <w:rPr>
                <w:rFonts w:ascii="Times New Roman" w:eastAsia="Calibri" w:hAnsi="Times New Roman" w:cs="Times New Roman"/>
                <w:lang w:val="sr-Cyrl-CS"/>
              </w:rPr>
              <w:t xml:space="preserve">Републици </w:t>
            </w:r>
            <w:r w:rsidRPr="004831AB">
              <w:rPr>
                <w:rFonts w:ascii="Times New Roman" w:eastAsia="Calibri" w:hAnsi="Times New Roman" w:cs="Times New Roman"/>
                <w:lang w:val="sr-Cyrl-CS"/>
              </w:rPr>
              <w:t>Србији кроз финансијску и нефинансијску подршку</w:t>
            </w:r>
            <w:r w:rsidR="006612A0" w:rsidRPr="004831AB">
              <w:rPr>
                <w:rFonts w:ascii="Times New Roman" w:eastAsia="Calibri" w:hAnsi="Times New Roman" w:cs="Times New Roman"/>
                <w:lang w:val="sr-Cyrl-CS"/>
              </w:rPr>
              <w:t xml:space="preserve">, што ће резултирати већем броју високо-технолошких услуга и производа, а самим тим ће утицати на </w:t>
            </w:r>
            <w:r w:rsidR="007071F5" w:rsidRPr="004831AB">
              <w:rPr>
                <w:rFonts w:ascii="Times New Roman" w:eastAsia="Calibri" w:hAnsi="Times New Roman" w:cs="Times New Roman"/>
                <w:lang w:val="sr-Cyrl-CS"/>
              </w:rPr>
              <w:t xml:space="preserve">поступно стуктурну промену у правцу веће заступљености производа и услуга са вишом додатном вредношћу </w:t>
            </w:r>
            <w:r w:rsidR="006612A0" w:rsidRPr="004831AB">
              <w:rPr>
                <w:rFonts w:ascii="Times New Roman" w:eastAsia="Calibri" w:hAnsi="Times New Roman" w:cs="Times New Roman"/>
                <w:lang w:val="sr-Cyrl-CS"/>
              </w:rPr>
              <w:t>како сектора МСПП</w:t>
            </w:r>
            <w:r w:rsidR="00C22CED" w:rsidRPr="004831AB">
              <w:rPr>
                <w:rFonts w:ascii="Times New Roman" w:eastAsia="Calibri" w:hAnsi="Times New Roman" w:cs="Times New Roman"/>
                <w:lang w:val="sr-Cyrl-CS"/>
              </w:rPr>
              <w:t>,</w:t>
            </w:r>
            <w:r w:rsidR="006612A0" w:rsidRPr="004831AB">
              <w:rPr>
                <w:rFonts w:ascii="Times New Roman" w:eastAsia="Calibri" w:hAnsi="Times New Roman" w:cs="Times New Roman"/>
                <w:lang w:val="sr-Cyrl-CS"/>
              </w:rPr>
              <w:t xml:space="preserve"> т</w:t>
            </w:r>
            <w:r w:rsidR="00FB63CF" w:rsidRPr="004831AB">
              <w:rPr>
                <w:rFonts w:ascii="Times New Roman" w:eastAsia="Calibri" w:hAnsi="Times New Roman" w:cs="Times New Roman"/>
                <w:lang w:val="sr-Cyrl-CS"/>
              </w:rPr>
              <w:t>ако и привреде Републике Србије</w:t>
            </w:r>
            <w:r w:rsidRPr="004831AB">
              <w:rPr>
                <w:rFonts w:ascii="Times New Roman" w:eastAsia="Calibri" w:hAnsi="Times New Roman" w:cs="Times New Roman"/>
                <w:lang w:val="sr-Cyrl-CS"/>
              </w:rPr>
              <w:t>.</w:t>
            </w:r>
            <w:r w:rsidR="006612A0" w:rsidRPr="004831AB">
              <w:rPr>
                <w:rFonts w:ascii="Times New Roman" w:eastAsia="Calibri" w:hAnsi="Times New Roman" w:cs="Times New Roman"/>
                <w:lang w:val="sr-Cyrl-CS"/>
              </w:rPr>
              <w:t xml:space="preserve"> </w:t>
            </w:r>
          </w:p>
        </w:tc>
      </w:tr>
    </w:tbl>
    <w:p w14:paraId="1599D441" w14:textId="77777777" w:rsidR="00CE622E" w:rsidRPr="004831AB" w:rsidRDefault="00CE622E" w:rsidP="00CE622E">
      <w:pPr>
        <w:rPr>
          <w:rFonts w:ascii="Times New Roman" w:eastAsia="Calibri" w:hAnsi="Times New Roman" w:cs="Times New Roman"/>
          <w:lang w:val="sr-Cyrl-CS"/>
        </w:rPr>
      </w:pPr>
    </w:p>
    <w:p w14:paraId="497075B0" w14:textId="77777777" w:rsidR="00CE622E" w:rsidRPr="004831AB" w:rsidRDefault="00CE622E" w:rsidP="00FA326F">
      <w:pPr>
        <w:pStyle w:val="Heading3"/>
        <w:rPr>
          <w:bCs/>
          <w:lang w:val="sr-Cyrl-CS"/>
        </w:rPr>
      </w:pPr>
      <w:r w:rsidRPr="004831AB">
        <w:rPr>
          <w:bCs/>
          <w:lang w:val="sr-Cyrl-CS"/>
        </w:rPr>
        <w:t xml:space="preserve">Мера 2.2: </w:t>
      </w:r>
      <w:r w:rsidR="0056799A" w:rsidRPr="004831AB">
        <w:rPr>
          <w:bCs/>
          <w:lang w:val="sr-Cyrl-CS"/>
        </w:rPr>
        <w:t xml:space="preserve">Подршка </w:t>
      </w:r>
      <w:r w:rsidR="005A01F9" w:rsidRPr="004831AB">
        <w:rPr>
          <w:bCs/>
          <w:lang w:val="sr-Cyrl-CS"/>
        </w:rPr>
        <w:t>МСПП за примену зелене агенде у пословању</w:t>
      </w:r>
    </w:p>
    <w:tbl>
      <w:tblPr>
        <w:tblStyle w:val="TableGrid"/>
        <w:tblW w:w="0" w:type="auto"/>
        <w:tblLook w:val="04A0" w:firstRow="1" w:lastRow="0" w:firstColumn="1" w:lastColumn="0" w:noHBand="0" w:noVBand="1"/>
      </w:tblPr>
      <w:tblGrid>
        <w:gridCol w:w="1551"/>
        <w:gridCol w:w="3316"/>
        <w:gridCol w:w="1651"/>
        <w:gridCol w:w="1416"/>
        <w:gridCol w:w="1416"/>
      </w:tblGrid>
      <w:tr w:rsidR="00CE622E" w:rsidRPr="004831AB" w14:paraId="5130FEBF" w14:textId="77777777" w:rsidTr="008A392B">
        <w:tc>
          <w:tcPr>
            <w:tcW w:w="1551" w:type="dxa"/>
          </w:tcPr>
          <w:p w14:paraId="7A5FC3FD"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7799" w:type="dxa"/>
            <w:gridSpan w:val="4"/>
          </w:tcPr>
          <w:p w14:paraId="46EEC60F" w14:textId="77777777" w:rsidR="00CE622E" w:rsidRPr="004831AB" w:rsidRDefault="00CE622E"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r>
      <w:tr w:rsidR="008A392B" w:rsidRPr="004831AB" w14:paraId="61BD4CDD" w14:textId="77777777" w:rsidTr="008A392B">
        <w:tc>
          <w:tcPr>
            <w:tcW w:w="1551" w:type="dxa"/>
          </w:tcPr>
          <w:p w14:paraId="5FA9C24C"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316" w:type="dxa"/>
          </w:tcPr>
          <w:p w14:paraId="0E8FC071"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651" w:type="dxa"/>
          </w:tcPr>
          <w:p w14:paraId="3BD678EE"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416" w:type="dxa"/>
          </w:tcPr>
          <w:p w14:paraId="2DEA200C"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416" w:type="dxa"/>
          </w:tcPr>
          <w:p w14:paraId="09DC412F" w14:textId="77777777" w:rsidR="008A392B" w:rsidRPr="004831AB" w:rsidRDefault="008A392B" w:rsidP="008A392B">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8A392B" w:rsidRPr="004831AB" w14:paraId="43C93708" w14:textId="77777777" w:rsidTr="008A392B">
        <w:tc>
          <w:tcPr>
            <w:tcW w:w="1551" w:type="dxa"/>
          </w:tcPr>
          <w:p w14:paraId="363A9B3E" w14:textId="77777777" w:rsidR="008A392B" w:rsidRPr="004831AB" w:rsidRDefault="008A392B"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1.</w:t>
            </w:r>
          </w:p>
        </w:tc>
        <w:tc>
          <w:tcPr>
            <w:tcW w:w="3316" w:type="dxa"/>
          </w:tcPr>
          <w:p w14:paraId="01627504" w14:textId="77777777" w:rsidR="008A392B"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МСПП у зеленој економији</w:t>
            </w:r>
          </w:p>
        </w:tc>
        <w:tc>
          <w:tcPr>
            <w:tcW w:w="1651" w:type="dxa"/>
          </w:tcPr>
          <w:p w14:paraId="392FC59D" w14:textId="77777777" w:rsidR="008A392B"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Индекс политике МСПП, Димензија 9</w:t>
            </w:r>
          </w:p>
        </w:tc>
        <w:tc>
          <w:tcPr>
            <w:tcW w:w="1416" w:type="dxa"/>
          </w:tcPr>
          <w:p w14:paraId="78BCE37C" w14:textId="77777777" w:rsidR="008A392B"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2</w:t>
            </w:r>
            <w:r w:rsidR="0056799A"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53 (</w:t>
            </w:r>
            <w:hyperlink r:id="rId19" w:history="1">
              <w:r w:rsidRPr="004831AB">
                <w:rPr>
                  <w:rStyle w:val="Hyperlink"/>
                  <w:rFonts w:ascii="Times New Roman" w:eastAsia="Calibri" w:hAnsi="Times New Roman" w:cs="Times New Roman"/>
                  <w:color w:val="auto"/>
                  <w:u w:val="none"/>
                  <w:lang w:val="sr-Cyrl-CS"/>
                </w:rPr>
                <w:t>2022</w:t>
              </w:r>
            </w:hyperlink>
            <w:r w:rsidRPr="004831AB">
              <w:rPr>
                <w:rFonts w:ascii="Times New Roman" w:eastAsia="Calibri" w:hAnsi="Times New Roman" w:cs="Times New Roman"/>
                <w:lang w:val="sr-Cyrl-CS"/>
              </w:rPr>
              <w:t>)</w:t>
            </w:r>
          </w:p>
        </w:tc>
        <w:tc>
          <w:tcPr>
            <w:tcW w:w="1416" w:type="dxa"/>
          </w:tcPr>
          <w:p w14:paraId="01701458" w14:textId="77777777" w:rsidR="008A392B" w:rsidRPr="004831AB" w:rsidRDefault="008A392B" w:rsidP="00D54E95">
            <w:pPr>
              <w:rPr>
                <w:rFonts w:ascii="Times New Roman" w:eastAsia="Calibri" w:hAnsi="Times New Roman" w:cs="Times New Roman"/>
                <w:lang w:val="sr-Cyrl-CS"/>
              </w:rPr>
            </w:pPr>
            <w:r w:rsidRPr="004831AB">
              <w:rPr>
                <w:rFonts w:ascii="Times New Roman" w:eastAsia="Calibri" w:hAnsi="Times New Roman" w:cs="Times New Roman"/>
                <w:lang w:val="sr-Cyrl-CS"/>
              </w:rPr>
              <w:t>2</w:t>
            </w:r>
            <w:r w:rsidR="0056799A"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94 (2</w:t>
            </w:r>
            <w:r w:rsidR="007071F5" w:rsidRPr="004831AB">
              <w:rPr>
                <w:rFonts w:ascii="Times New Roman" w:eastAsia="Calibri" w:hAnsi="Times New Roman" w:cs="Times New Roman"/>
                <w:lang w:val="sr-Cyrl-CS"/>
              </w:rPr>
              <w:t>0</w:t>
            </w:r>
            <w:r w:rsidRPr="004831AB">
              <w:rPr>
                <w:rFonts w:ascii="Times New Roman" w:eastAsia="Calibri" w:hAnsi="Times New Roman" w:cs="Times New Roman"/>
                <w:lang w:val="sr-Cyrl-CS"/>
              </w:rPr>
              <w:t>27)</w:t>
            </w:r>
          </w:p>
        </w:tc>
      </w:tr>
      <w:tr w:rsidR="008A392B" w:rsidRPr="004831AB" w14:paraId="07BB59F7" w14:textId="77777777" w:rsidTr="008A392B">
        <w:tc>
          <w:tcPr>
            <w:tcW w:w="1551" w:type="dxa"/>
          </w:tcPr>
          <w:p w14:paraId="1950F731" w14:textId="77777777" w:rsidR="008A392B" w:rsidRPr="004831AB" w:rsidRDefault="008A392B"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 xml:space="preserve">2. </w:t>
            </w:r>
          </w:p>
        </w:tc>
        <w:tc>
          <w:tcPr>
            <w:tcW w:w="3316" w:type="dxa"/>
          </w:tcPr>
          <w:p w14:paraId="5227C41A" w14:textId="77777777" w:rsidR="008A392B"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МСП који нуде зелене производе или услуге (%)</w:t>
            </w:r>
          </w:p>
        </w:tc>
        <w:tc>
          <w:tcPr>
            <w:tcW w:w="1651" w:type="dxa"/>
          </w:tcPr>
          <w:p w14:paraId="5A9B0737" w14:textId="77777777" w:rsidR="008A392B" w:rsidRPr="004831AB" w:rsidRDefault="008A392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Еуробарометар</w:t>
            </w:r>
          </w:p>
        </w:tc>
        <w:tc>
          <w:tcPr>
            <w:tcW w:w="1416" w:type="dxa"/>
          </w:tcPr>
          <w:p w14:paraId="0870A6CB" w14:textId="77777777" w:rsidR="008A392B" w:rsidRPr="004831AB"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25% (</w:t>
            </w:r>
            <w:hyperlink r:id="rId20" w:history="1">
              <w:r w:rsidRPr="004831AB">
                <w:rPr>
                  <w:rStyle w:val="Hyperlink"/>
                  <w:rFonts w:ascii="Times New Roman" w:eastAsia="Calibri" w:hAnsi="Times New Roman" w:cs="Times New Roman"/>
                  <w:color w:val="auto"/>
                  <w:u w:val="none"/>
                  <w:lang w:val="sr-Cyrl-CS"/>
                </w:rPr>
                <w:t>2021</w:t>
              </w:r>
            </w:hyperlink>
            <w:r w:rsidRPr="004831AB">
              <w:rPr>
                <w:rFonts w:ascii="Times New Roman" w:eastAsia="Calibri" w:hAnsi="Times New Roman" w:cs="Times New Roman"/>
                <w:lang w:val="sr-Cyrl-CS"/>
              </w:rPr>
              <w:t>)</w:t>
            </w:r>
          </w:p>
        </w:tc>
        <w:tc>
          <w:tcPr>
            <w:tcW w:w="1416" w:type="dxa"/>
          </w:tcPr>
          <w:p w14:paraId="64BB7D1B" w14:textId="77777777" w:rsidR="008A392B" w:rsidRPr="004831AB" w:rsidRDefault="00C85D5B"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30</w:t>
            </w:r>
            <w:r w:rsidR="00302876" w:rsidRPr="004831AB">
              <w:rPr>
                <w:rFonts w:ascii="Times New Roman" w:eastAsia="Calibri" w:hAnsi="Times New Roman" w:cs="Times New Roman"/>
                <w:lang w:val="sr-Cyrl-CS"/>
              </w:rPr>
              <w:t>% (2027)</w:t>
            </w:r>
          </w:p>
        </w:tc>
      </w:tr>
      <w:tr w:rsidR="00CE622E" w:rsidRPr="004831AB" w14:paraId="5F1CC375" w14:textId="77777777" w:rsidTr="008A392B">
        <w:tc>
          <w:tcPr>
            <w:tcW w:w="1551" w:type="dxa"/>
          </w:tcPr>
          <w:p w14:paraId="39771473"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799" w:type="dxa"/>
            <w:gridSpan w:val="4"/>
          </w:tcPr>
          <w:p w14:paraId="285850B4" w14:textId="29EA3DF6" w:rsidR="00CE622E" w:rsidRPr="004831AB" w:rsidRDefault="00BA67FB" w:rsidP="000615F4">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Посебно важна област</w:t>
            </w:r>
            <w:r w:rsidR="00B8191F" w:rsidRPr="004831AB">
              <w:rPr>
                <w:rFonts w:ascii="Times New Roman" w:hAnsi="Times New Roman" w:cs="Times New Roman"/>
                <w:color w:val="FF0000"/>
                <w:sz w:val="24"/>
                <w:szCs w:val="24"/>
                <w:lang w:val="sr-Cyrl-CS"/>
              </w:rPr>
              <w:t xml:space="preserve"> </w:t>
            </w:r>
            <w:r w:rsidR="00B8191F" w:rsidRPr="004831AB">
              <w:rPr>
                <w:rFonts w:ascii="Times New Roman" w:hAnsi="Times New Roman" w:cs="Times New Roman"/>
                <w:sz w:val="24"/>
                <w:szCs w:val="24"/>
                <w:lang w:val="sr-Cyrl-CS"/>
              </w:rPr>
              <w:t>која није оптимално разматрана</w:t>
            </w:r>
            <w:r w:rsidRPr="004831AB">
              <w:rPr>
                <w:rFonts w:ascii="Times New Roman" w:eastAsia="Calibri" w:hAnsi="Times New Roman" w:cs="Times New Roman"/>
                <w:lang w:val="sr-Cyrl-CS"/>
              </w:rPr>
              <w:t xml:space="preserve"> односи се на усклађивање пословања МСПП са принципима зеленог пословања, што је неопходан услов за прилагођавање глобалним захтевима одрживог развоја.</w:t>
            </w:r>
            <w:r w:rsidRPr="004831AB" w:rsidDel="00BA67FB">
              <w:rPr>
                <w:rFonts w:ascii="Times New Roman" w:eastAsia="Calibri" w:hAnsi="Times New Roman" w:cs="Times New Roman"/>
                <w:lang w:val="sr-Cyrl-CS"/>
              </w:rPr>
              <w:t xml:space="preserve"> </w:t>
            </w:r>
            <w:r w:rsidR="00E3322A" w:rsidRPr="004831AB">
              <w:rPr>
                <w:rFonts w:ascii="Times New Roman" w:eastAsia="Calibri" w:hAnsi="Times New Roman" w:cs="Times New Roman"/>
                <w:lang w:val="sr-Cyrl-CS"/>
              </w:rPr>
              <w:t xml:space="preserve">МСПП у Републици Србији недовољно су упознати са </w:t>
            </w:r>
            <w:r w:rsidR="00CA38F3" w:rsidRPr="004831AB">
              <w:rPr>
                <w:rFonts w:ascii="Times New Roman" w:eastAsia="Calibri" w:hAnsi="Times New Roman" w:cs="Times New Roman"/>
                <w:lang w:val="sr-Cyrl-CS"/>
              </w:rPr>
              <w:t>овим концептима</w:t>
            </w:r>
            <w:r w:rsidR="007071F5" w:rsidRPr="004831AB">
              <w:rPr>
                <w:rFonts w:ascii="Times New Roman" w:eastAsia="Calibri" w:hAnsi="Times New Roman" w:cs="Times New Roman"/>
                <w:lang w:val="sr-Cyrl-CS"/>
              </w:rPr>
              <w:t xml:space="preserve"> и утицајима који ће они неминовно имати на њихово пословање.</w:t>
            </w:r>
            <w:r w:rsidR="00CA38F3" w:rsidRPr="004831AB">
              <w:rPr>
                <w:rFonts w:ascii="Times New Roman" w:eastAsia="Calibri" w:hAnsi="Times New Roman" w:cs="Times New Roman"/>
                <w:lang w:val="sr-Cyrl-CS"/>
              </w:rPr>
              <w:t xml:space="preserve"> Ова мера за циљ има подршку МСПП </w:t>
            </w:r>
            <w:r w:rsidR="000615F4" w:rsidRPr="004831AB">
              <w:rPr>
                <w:rFonts w:ascii="Times New Roman" w:eastAsia="Calibri" w:hAnsi="Times New Roman" w:cs="Times New Roman"/>
                <w:lang w:val="sr-Cyrl-CS"/>
              </w:rPr>
              <w:t xml:space="preserve"> у </w:t>
            </w:r>
            <w:r w:rsidR="00CA38F3" w:rsidRPr="004831AB">
              <w:rPr>
                <w:rFonts w:ascii="Times New Roman" w:eastAsia="Calibri" w:hAnsi="Times New Roman" w:cs="Times New Roman"/>
                <w:lang w:val="sr-Cyrl-CS"/>
              </w:rPr>
              <w:t>трансформациј</w:t>
            </w:r>
            <w:r w:rsidR="000615F4" w:rsidRPr="004831AB">
              <w:rPr>
                <w:rFonts w:ascii="Times New Roman" w:eastAsia="Calibri" w:hAnsi="Times New Roman" w:cs="Times New Roman"/>
                <w:lang w:val="sr-Cyrl-CS"/>
              </w:rPr>
              <w:t>и</w:t>
            </w:r>
            <w:r w:rsidR="00CA38F3" w:rsidRPr="004831AB">
              <w:rPr>
                <w:rFonts w:ascii="Times New Roman" w:eastAsia="Calibri" w:hAnsi="Times New Roman" w:cs="Times New Roman"/>
                <w:lang w:val="sr-Cyrl-CS"/>
              </w:rPr>
              <w:t xml:space="preserve"> ка ресурсној ефикасности и озелењавању њиховог пословања, што ће допринети и остваривању резултата „Зелене агенде за Западни Балкан</w:t>
            </w:r>
            <w:r w:rsidR="007E5D5C" w:rsidRPr="004831AB">
              <w:rPr>
                <w:rFonts w:ascii="Times New Roman" w:eastAsia="Calibri" w:hAnsi="Times New Roman" w:cs="Times New Roman"/>
                <w:lang w:val="sr-Cyrl-CS"/>
              </w:rPr>
              <w:t>”</w:t>
            </w:r>
            <w:r w:rsidR="00CA38F3" w:rsidRPr="004831AB">
              <w:rPr>
                <w:rFonts w:ascii="Times New Roman" w:eastAsia="Calibri" w:hAnsi="Times New Roman" w:cs="Times New Roman"/>
                <w:lang w:val="sr-Cyrl-CS"/>
              </w:rPr>
              <w:t xml:space="preserve">. Мера обухвата финансијску подршку МСПП за увођење обновљивих извора енергије, за зелено пословање, усаглашавање са стандардима заштите животне средине, као и за иновативна решења у области циркуларне економије. Поред тога, мера предвиђа и пружање саветодавне и едукативне подршке МСПП, као и подизање свести овог сектора о циркуларној економији, енергетској ефикасности и зеленом пословању. </w:t>
            </w:r>
            <w:r w:rsidR="00160A70" w:rsidRPr="004831AB">
              <w:rPr>
                <w:rFonts w:ascii="Times New Roman" w:eastAsia="Calibri" w:hAnsi="Times New Roman" w:cs="Times New Roman"/>
                <w:lang w:val="sr-Cyrl-CS"/>
              </w:rPr>
              <w:t xml:space="preserve">Активности ове мере су комплементарне Стратегији индустријске политике Републике Србије од 2021. до 2030. године. </w:t>
            </w:r>
          </w:p>
        </w:tc>
      </w:tr>
      <w:tr w:rsidR="00CE622E" w:rsidRPr="004831AB" w14:paraId="5A7FEDDA" w14:textId="77777777" w:rsidTr="008A392B">
        <w:tc>
          <w:tcPr>
            <w:tcW w:w="1551" w:type="dxa"/>
          </w:tcPr>
          <w:p w14:paraId="6D8356F0"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799" w:type="dxa"/>
            <w:gridSpan w:val="4"/>
          </w:tcPr>
          <w:p w14:paraId="62AB238E" w14:textId="77777777" w:rsidR="00CE622E" w:rsidRPr="004831AB" w:rsidRDefault="00F068E6" w:rsidP="00F068E6">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Имплементацијом ове мере допринеће се спровођењу „Зелене агенде за Западни Балкан</w:t>
            </w:r>
            <w:r w:rsidR="007E5D5C" w:rsidRPr="004831AB">
              <w:rPr>
                <w:rFonts w:ascii="Times New Roman" w:eastAsia="Calibri" w:hAnsi="Times New Roman" w:cs="Times New Roman"/>
                <w:lang w:val="sr-Cyrl-CS"/>
              </w:rPr>
              <w:t>”</w:t>
            </w:r>
            <w:r w:rsidR="00BA67FB" w:rsidRPr="004831AB">
              <w:rPr>
                <w:rFonts w:ascii="Times New Roman" w:eastAsia="Calibri" w:hAnsi="Times New Roman" w:cs="Times New Roman"/>
                <w:lang w:val="sr-Cyrl-CS"/>
              </w:rPr>
              <w:t xml:space="preserve"> и помоћи МСПП да ускладе своје пословање са захтевима зелене трансформације.</w:t>
            </w:r>
            <w:r w:rsidR="00E54606"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Већа примена циркуларне економије, енергетске ефикасности, као и већи број зелених производа и услуга, </w:t>
            </w:r>
            <w:r w:rsidR="00BA67FB" w:rsidRPr="004831AB">
              <w:rPr>
                <w:rFonts w:ascii="Times New Roman" w:eastAsia="Calibri" w:hAnsi="Times New Roman" w:cs="Times New Roman"/>
                <w:lang w:val="sr-Cyrl-CS"/>
              </w:rPr>
              <w:t xml:space="preserve">омогућиће МСПП да еколошке изазове претворе у развојне шансе, а </w:t>
            </w:r>
            <w:r w:rsidRPr="004831AB">
              <w:rPr>
                <w:rFonts w:ascii="Times New Roman" w:eastAsia="Calibri" w:hAnsi="Times New Roman" w:cs="Times New Roman"/>
                <w:lang w:val="sr-Cyrl-CS"/>
              </w:rPr>
              <w:t xml:space="preserve">свакако ће имати и позитиван ефекат на заштиту животне средине. </w:t>
            </w:r>
          </w:p>
        </w:tc>
      </w:tr>
    </w:tbl>
    <w:p w14:paraId="78D4BA47" w14:textId="77777777" w:rsidR="00CE622E" w:rsidRPr="004831AB" w:rsidRDefault="00CE622E" w:rsidP="00CE622E">
      <w:pPr>
        <w:rPr>
          <w:rFonts w:ascii="Times New Roman" w:eastAsia="Calibri" w:hAnsi="Times New Roman" w:cs="Times New Roman"/>
          <w:lang w:val="sr-Cyrl-CS"/>
        </w:rPr>
      </w:pPr>
    </w:p>
    <w:p w14:paraId="13FB4030" w14:textId="77777777" w:rsidR="00CE622E" w:rsidRPr="004831AB" w:rsidRDefault="00CE622E" w:rsidP="00732C97">
      <w:pPr>
        <w:pStyle w:val="Heading3"/>
        <w:rPr>
          <w:rFonts w:eastAsia="Times New Roman"/>
          <w:bCs/>
          <w:lang w:val="sr-Cyrl-CS"/>
        </w:rPr>
      </w:pPr>
      <w:r w:rsidRPr="004831AB">
        <w:rPr>
          <w:rFonts w:eastAsia="Times New Roman"/>
          <w:bCs/>
          <w:lang w:val="sr-Cyrl-CS"/>
        </w:rPr>
        <w:t xml:space="preserve">Mера 2.3: </w:t>
      </w:r>
      <w:r w:rsidR="0056799A" w:rsidRPr="004831AB">
        <w:rPr>
          <w:rFonts w:eastAsia="Times New Roman"/>
          <w:bCs/>
          <w:lang w:val="sr-Cyrl-CS"/>
        </w:rPr>
        <w:t xml:space="preserve">Подршка МСПП за дигиталну трансформацију и развој е-трговине </w:t>
      </w:r>
    </w:p>
    <w:tbl>
      <w:tblPr>
        <w:tblStyle w:val="TableGrid"/>
        <w:tblW w:w="0" w:type="auto"/>
        <w:tblLook w:val="04A0" w:firstRow="1" w:lastRow="0" w:firstColumn="1" w:lastColumn="0" w:noHBand="0" w:noVBand="1"/>
      </w:tblPr>
      <w:tblGrid>
        <w:gridCol w:w="1529"/>
        <w:gridCol w:w="2981"/>
        <w:gridCol w:w="1742"/>
        <w:gridCol w:w="1549"/>
        <w:gridCol w:w="1549"/>
      </w:tblGrid>
      <w:tr w:rsidR="0056799A" w:rsidRPr="004831AB" w14:paraId="47DA98B9" w14:textId="77777777" w:rsidTr="001F3BDC">
        <w:tc>
          <w:tcPr>
            <w:tcW w:w="1529" w:type="dxa"/>
          </w:tcPr>
          <w:p w14:paraId="28DA37CC" w14:textId="77777777" w:rsidR="0056799A" w:rsidRPr="004831AB" w:rsidRDefault="0056799A" w:rsidP="0056799A">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2981" w:type="dxa"/>
          </w:tcPr>
          <w:p w14:paraId="569B5617"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742" w:type="dxa"/>
          </w:tcPr>
          <w:p w14:paraId="2042870D"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3098" w:type="dxa"/>
            <w:gridSpan w:val="2"/>
          </w:tcPr>
          <w:p w14:paraId="3343B745" w14:textId="77777777" w:rsidR="0056799A" w:rsidRPr="004831AB" w:rsidRDefault="0056799A" w:rsidP="0056799A">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302876" w:rsidRPr="004831AB" w14:paraId="76A22A5C" w14:textId="77777777" w:rsidTr="001F3BDC">
        <w:tc>
          <w:tcPr>
            <w:tcW w:w="1529" w:type="dxa"/>
          </w:tcPr>
          <w:p w14:paraId="2821D610"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2981" w:type="dxa"/>
          </w:tcPr>
          <w:p w14:paraId="351DEA05"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742" w:type="dxa"/>
          </w:tcPr>
          <w:p w14:paraId="57A7A339"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549" w:type="dxa"/>
          </w:tcPr>
          <w:p w14:paraId="552DA0A4"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549" w:type="dxa"/>
          </w:tcPr>
          <w:p w14:paraId="527892BC"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302876" w:rsidRPr="004831AB" w14:paraId="7B50C1B8" w14:textId="77777777" w:rsidTr="001F3BDC">
        <w:tc>
          <w:tcPr>
            <w:tcW w:w="1529" w:type="dxa"/>
          </w:tcPr>
          <w:p w14:paraId="463FF31F" w14:textId="77777777" w:rsidR="00302876" w:rsidRPr="004831AB" w:rsidRDefault="00302876"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2981" w:type="dxa"/>
          </w:tcPr>
          <w:p w14:paraId="1E5ED517" w14:textId="77777777" w:rsidR="00302876" w:rsidRPr="004831AB"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Број МСПП подржаних кроз Центар за дигиталну трансформацију ПКС (просечан раст за читав период)</w:t>
            </w:r>
          </w:p>
        </w:tc>
        <w:tc>
          <w:tcPr>
            <w:tcW w:w="1742" w:type="dxa"/>
          </w:tcPr>
          <w:p w14:paraId="37218B41" w14:textId="77777777" w:rsidR="00302876" w:rsidRPr="004831AB"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ПКС, Извештај Центра за дигиталну трансформацију</w:t>
            </w:r>
          </w:p>
        </w:tc>
        <w:tc>
          <w:tcPr>
            <w:tcW w:w="1549" w:type="dxa"/>
          </w:tcPr>
          <w:p w14:paraId="1CE8036C" w14:textId="77777777" w:rsidR="00302876" w:rsidRPr="004831AB" w:rsidRDefault="007071F5"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150 (2021)</w:t>
            </w:r>
          </w:p>
        </w:tc>
        <w:tc>
          <w:tcPr>
            <w:tcW w:w="1549" w:type="dxa"/>
          </w:tcPr>
          <w:p w14:paraId="793E14BC" w14:textId="77777777" w:rsidR="003C1520" w:rsidRPr="004831AB" w:rsidRDefault="003C1520" w:rsidP="003C1520">
            <w:pPr>
              <w:rPr>
                <w:rFonts w:ascii="Times New Roman" w:eastAsia="Calibri" w:hAnsi="Times New Roman" w:cs="Times New Roman"/>
                <w:lang w:val="sr-Cyrl-CS"/>
              </w:rPr>
            </w:pPr>
            <w:r w:rsidRPr="004831AB">
              <w:rPr>
                <w:rFonts w:ascii="Times New Roman" w:eastAsia="Calibri" w:hAnsi="Times New Roman" w:cs="Times New Roman"/>
                <w:lang w:val="sr-Cyrl-CS"/>
              </w:rPr>
              <w:t>300</w:t>
            </w:r>
          </w:p>
          <w:p w14:paraId="0BD812AA" w14:textId="30915426" w:rsidR="00302876" w:rsidRPr="004831AB" w:rsidRDefault="003C1520" w:rsidP="003C1520">
            <w:pPr>
              <w:rPr>
                <w:rFonts w:ascii="Times New Roman" w:eastAsia="Calibri" w:hAnsi="Times New Roman" w:cs="Times New Roman"/>
                <w:highlight w:val="yellow"/>
                <w:lang w:val="sr-Cyrl-CS"/>
              </w:rPr>
            </w:pPr>
            <w:r w:rsidRPr="004831AB">
              <w:rPr>
                <w:rFonts w:ascii="Times New Roman" w:eastAsia="Calibri" w:hAnsi="Times New Roman" w:cs="Times New Roman"/>
                <w:lang w:val="sr-Cyrl-CS"/>
              </w:rPr>
              <w:t>(100% раст за читав период односно 16,6% просечно годишње)</w:t>
            </w:r>
          </w:p>
        </w:tc>
      </w:tr>
      <w:tr w:rsidR="00302876" w:rsidRPr="004831AB" w14:paraId="2C58DAAC" w14:textId="77777777" w:rsidTr="001F3BDC">
        <w:tc>
          <w:tcPr>
            <w:tcW w:w="1529" w:type="dxa"/>
          </w:tcPr>
          <w:p w14:paraId="6424B85C" w14:textId="77777777" w:rsidR="00302876" w:rsidRPr="004831AB" w:rsidRDefault="00302876"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 xml:space="preserve">2. </w:t>
            </w:r>
          </w:p>
        </w:tc>
        <w:tc>
          <w:tcPr>
            <w:tcW w:w="2981" w:type="dxa"/>
          </w:tcPr>
          <w:p w14:paraId="6FC19FD3" w14:textId="77777777" w:rsidR="00302876" w:rsidRPr="004831AB" w:rsidRDefault="00302876" w:rsidP="003F3C77">
            <w:pPr>
              <w:rPr>
                <w:rFonts w:ascii="Times New Roman" w:eastAsia="Calibri" w:hAnsi="Times New Roman" w:cs="Times New Roman"/>
                <w:i/>
                <w:lang w:val="sr-Cyrl-CS"/>
              </w:rPr>
            </w:pPr>
            <w:r w:rsidRPr="004831AB">
              <w:rPr>
                <w:rFonts w:ascii="Times New Roman" w:eastAsia="Calibri" w:hAnsi="Times New Roman" w:cs="Times New Roman"/>
                <w:lang w:val="sr-Cyrl-CS"/>
              </w:rPr>
              <w:t>Промоција употребе е-трговине (</w:t>
            </w:r>
            <w:r w:rsidRPr="004831AB">
              <w:rPr>
                <w:rFonts w:ascii="Times New Roman" w:eastAsia="Calibri" w:hAnsi="Times New Roman" w:cs="Times New Roman"/>
                <w:i/>
                <w:lang w:val="sr-Cyrl-CS"/>
              </w:rPr>
              <w:t>Promoting the use of</w:t>
            </w:r>
          </w:p>
          <w:p w14:paraId="721D4BE6" w14:textId="77777777" w:rsidR="00302876" w:rsidRPr="004831AB" w:rsidRDefault="00302876" w:rsidP="003F3C77">
            <w:pPr>
              <w:rPr>
                <w:rFonts w:ascii="Times New Roman" w:eastAsia="Calibri" w:hAnsi="Times New Roman" w:cs="Times New Roman"/>
                <w:lang w:val="sr-Cyrl-CS"/>
              </w:rPr>
            </w:pPr>
            <w:r w:rsidRPr="004831AB">
              <w:rPr>
                <w:rFonts w:ascii="Times New Roman" w:eastAsia="Calibri" w:hAnsi="Times New Roman" w:cs="Times New Roman"/>
                <w:i/>
                <w:lang w:val="sr-Cyrl-CS"/>
              </w:rPr>
              <w:t>e-commerce</w:t>
            </w:r>
            <w:r w:rsidRPr="004831AB">
              <w:rPr>
                <w:rFonts w:ascii="Times New Roman" w:eastAsia="Calibri" w:hAnsi="Times New Roman" w:cs="Times New Roman"/>
                <w:lang w:val="sr-Cyrl-CS"/>
              </w:rPr>
              <w:t>)</w:t>
            </w:r>
          </w:p>
        </w:tc>
        <w:tc>
          <w:tcPr>
            <w:tcW w:w="1742" w:type="dxa"/>
          </w:tcPr>
          <w:p w14:paraId="68F5A645" w14:textId="77777777" w:rsidR="00302876" w:rsidRPr="004831AB" w:rsidRDefault="00302876" w:rsidP="003F3C77">
            <w:pPr>
              <w:autoSpaceDE w:val="0"/>
              <w:autoSpaceDN w:val="0"/>
              <w:adjustRightInd w:val="0"/>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Индекс политике МСПП, под-димензија 10.3 </w:t>
            </w:r>
          </w:p>
        </w:tc>
        <w:tc>
          <w:tcPr>
            <w:tcW w:w="1549" w:type="dxa"/>
          </w:tcPr>
          <w:p w14:paraId="32F89EAD" w14:textId="77777777" w:rsidR="00302876" w:rsidRPr="004831AB" w:rsidRDefault="00302876" w:rsidP="003F3C77">
            <w:pPr>
              <w:autoSpaceDE w:val="0"/>
              <w:autoSpaceDN w:val="0"/>
              <w:adjustRightInd w:val="0"/>
              <w:rPr>
                <w:rFonts w:ascii="Times New Roman" w:eastAsia="Calibri" w:hAnsi="Times New Roman" w:cs="Times New Roman"/>
                <w:lang w:val="sr-Cyrl-CS"/>
              </w:rPr>
            </w:pPr>
            <w:r w:rsidRPr="004831AB">
              <w:rPr>
                <w:rFonts w:ascii="Times New Roman" w:eastAsia="Calibri" w:hAnsi="Times New Roman" w:cs="Times New Roman"/>
                <w:lang w:val="sr-Cyrl-CS"/>
              </w:rPr>
              <w:t>3,20 (</w:t>
            </w:r>
            <w:hyperlink r:id="rId21" w:history="1">
              <w:r w:rsidRPr="004831AB">
                <w:rPr>
                  <w:rStyle w:val="Hyperlink"/>
                  <w:rFonts w:ascii="Times New Roman" w:eastAsia="Calibri" w:hAnsi="Times New Roman" w:cs="Times New Roman"/>
                  <w:color w:val="auto"/>
                  <w:u w:val="none"/>
                  <w:lang w:val="sr-Cyrl-CS"/>
                </w:rPr>
                <w:t>2022</w:t>
              </w:r>
            </w:hyperlink>
            <w:r w:rsidRPr="004831AB">
              <w:rPr>
                <w:rFonts w:ascii="Times New Roman" w:eastAsia="Calibri" w:hAnsi="Times New Roman" w:cs="Times New Roman"/>
                <w:lang w:val="sr-Cyrl-CS"/>
              </w:rPr>
              <w:t>)</w:t>
            </w:r>
          </w:p>
        </w:tc>
        <w:tc>
          <w:tcPr>
            <w:tcW w:w="1549" w:type="dxa"/>
          </w:tcPr>
          <w:p w14:paraId="06EC251F" w14:textId="77777777" w:rsidR="00302876" w:rsidRPr="004831AB" w:rsidRDefault="00302876" w:rsidP="003F3C77">
            <w:pPr>
              <w:autoSpaceDE w:val="0"/>
              <w:autoSpaceDN w:val="0"/>
              <w:adjustRightInd w:val="0"/>
              <w:rPr>
                <w:rFonts w:ascii="Times New Roman" w:eastAsia="Calibri" w:hAnsi="Times New Roman" w:cs="Times New Roman"/>
                <w:lang w:val="sr-Cyrl-CS"/>
              </w:rPr>
            </w:pPr>
            <w:r w:rsidRPr="004831AB">
              <w:rPr>
                <w:rFonts w:ascii="Times New Roman" w:eastAsia="Calibri" w:hAnsi="Times New Roman" w:cs="Times New Roman"/>
                <w:lang w:val="sr-Cyrl-CS"/>
              </w:rPr>
              <w:t>3,</w:t>
            </w:r>
            <w:r w:rsidR="00C85D5B" w:rsidRPr="004831AB">
              <w:rPr>
                <w:rFonts w:ascii="Times New Roman" w:eastAsia="Calibri" w:hAnsi="Times New Roman" w:cs="Times New Roman"/>
                <w:lang w:val="sr-Cyrl-CS"/>
              </w:rPr>
              <w:t>5</w:t>
            </w:r>
            <w:r w:rsidRPr="004831AB">
              <w:rPr>
                <w:rFonts w:ascii="Times New Roman" w:eastAsia="Calibri" w:hAnsi="Times New Roman" w:cs="Times New Roman"/>
                <w:lang w:val="sr-Cyrl-CS"/>
              </w:rPr>
              <w:t xml:space="preserve"> (2027)</w:t>
            </w:r>
          </w:p>
        </w:tc>
      </w:tr>
      <w:tr w:rsidR="00CE622E" w:rsidRPr="004831AB" w14:paraId="1DAAA21F" w14:textId="77777777" w:rsidTr="0056799A">
        <w:tc>
          <w:tcPr>
            <w:tcW w:w="1529" w:type="dxa"/>
          </w:tcPr>
          <w:p w14:paraId="67C9CC1A"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21" w:type="dxa"/>
            <w:gridSpan w:val="4"/>
          </w:tcPr>
          <w:p w14:paraId="43A7F68F" w14:textId="6F549A0F" w:rsidR="00CE622E" w:rsidRPr="004831AB" w:rsidRDefault="00F068E6" w:rsidP="00021C42">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Дигитализација пословања омогућава унапређење ефикасности производних процеса, а креира и могућности за иновације, како производа тако и пословних модела. Дигитализација у сектору МСПП може да има широку примену, </w:t>
            </w:r>
            <w:r w:rsidR="00CE622E" w:rsidRPr="004831AB">
              <w:rPr>
                <w:rFonts w:ascii="Times New Roman" w:eastAsia="Calibri" w:hAnsi="Times New Roman" w:cs="Times New Roman"/>
                <w:lang w:val="sr-Cyrl-CS"/>
              </w:rPr>
              <w:t>од е-</w:t>
            </w:r>
            <w:r w:rsidR="00CE622E" w:rsidRPr="004831AB">
              <w:rPr>
                <w:rFonts w:ascii="Times New Roman" w:eastAsia="Calibri" w:hAnsi="Times New Roman" w:cs="Times New Roman"/>
                <w:lang w:val="sr-Cyrl-CS"/>
              </w:rPr>
              <w:lastRenderedPageBreak/>
              <w:t>трговине као начина пословања, дигитализације понуде (дигитални производи и услуге)</w:t>
            </w:r>
            <w:r w:rsidRPr="004831AB">
              <w:rPr>
                <w:rFonts w:ascii="Times New Roman" w:eastAsia="Calibri" w:hAnsi="Times New Roman" w:cs="Times New Roman"/>
                <w:lang w:val="sr-Cyrl-CS"/>
              </w:rPr>
              <w:t xml:space="preserve"> па до</w:t>
            </w:r>
            <w:r w:rsidR="00CE622E" w:rsidRPr="004831AB">
              <w:rPr>
                <w:rFonts w:ascii="Times New Roman" w:eastAsia="Calibri" w:hAnsi="Times New Roman" w:cs="Times New Roman"/>
                <w:lang w:val="sr-Cyrl-CS"/>
              </w:rPr>
              <w:t xml:space="preserve"> аутоматизациј</w:t>
            </w:r>
            <w:r w:rsidRPr="004831AB">
              <w:rPr>
                <w:rFonts w:ascii="Times New Roman" w:eastAsia="Calibri" w:hAnsi="Times New Roman" w:cs="Times New Roman"/>
                <w:lang w:val="sr-Cyrl-CS"/>
              </w:rPr>
              <w:t>е</w:t>
            </w:r>
            <w:r w:rsidR="00CE622E" w:rsidRPr="004831AB">
              <w:rPr>
                <w:rFonts w:ascii="Times New Roman" w:eastAsia="Calibri" w:hAnsi="Times New Roman" w:cs="Times New Roman"/>
                <w:lang w:val="sr-Cyrl-CS"/>
              </w:rPr>
              <w:t xml:space="preserve"> процеса</w:t>
            </w:r>
            <w:r w:rsidRPr="004831AB">
              <w:rPr>
                <w:rFonts w:ascii="Times New Roman" w:eastAsia="Calibri" w:hAnsi="Times New Roman" w:cs="Times New Roman"/>
                <w:lang w:val="sr-Cyrl-CS"/>
              </w:rPr>
              <w:t>, а</w:t>
            </w:r>
            <w:r w:rsidR="00CE622E" w:rsidRPr="004831AB">
              <w:rPr>
                <w:rFonts w:ascii="Times New Roman" w:eastAsia="Calibri" w:hAnsi="Times New Roman" w:cs="Times New Roman"/>
                <w:lang w:val="sr-Cyrl-CS"/>
              </w:rPr>
              <w:t xml:space="preserve"> основна је окосница даљег привредног развоја</w:t>
            </w:r>
            <w:r w:rsidRPr="004831AB">
              <w:rPr>
                <w:rFonts w:ascii="Times New Roman" w:eastAsia="Calibri" w:hAnsi="Times New Roman" w:cs="Times New Roman"/>
                <w:lang w:val="sr-Cyrl-CS"/>
              </w:rPr>
              <w:t xml:space="preserve">, што је нарочито дошло до изражаја у време кризе </w:t>
            </w:r>
            <w:r w:rsidR="00C22F14" w:rsidRPr="004831AB">
              <w:rPr>
                <w:rFonts w:ascii="Times New Roman" w:eastAsia="Calibri" w:hAnsi="Times New Roman" w:cs="Times New Roman"/>
                <w:lang w:val="sr-Cyrl-CS"/>
              </w:rPr>
              <w:t xml:space="preserve">узроковане </w:t>
            </w:r>
            <w:r w:rsidR="005274D1" w:rsidRPr="004831AB">
              <w:rPr>
                <w:rFonts w:ascii="Times New Roman" w:eastAsia="Calibri" w:hAnsi="Times New Roman" w:cs="Times New Roman"/>
                <w:lang w:val="sr-Cyrl-CS"/>
              </w:rPr>
              <w:t xml:space="preserve">пандемијом </w:t>
            </w:r>
            <w:r w:rsidR="00A01244"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вируса</w:t>
            </w:r>
            <w:r w:rsidR="005274D1" w:rsidRPr="004831AB">
              <w:rPr>
                <w:rStyle w:val="normaltextrun"/>
                <w:iCs/>
                <w:lang w:val="sr-Cyrl-CS"/>
              </w:rPr>
              <w:t xml:space="preserve"> </w:t>
            </w:r>
            <w:r w:rsidR="005274D1" w:rsidRPr="004831AB">
              <w:rPr>
                <w:rStyle w:val="normaltextrun"/>
                <w:rFonts w:ascii="Times New Roman" w:hAnsi="Times New Roman" w:cs="Times New Roman"/>
                <w:iCs/>
                <w:sz w:val="24"/>
                <w:szCs w:val="24"/>
                <w:lang w:val="sr-Cyrl-CS"/>
              </w:rPr>
              <w:t>COVID-</w:t>
            </w:r>
            <w:r w:rsidR="005274D1" w:rsidRPr="004831AB">
              <w:rPr>
                <w:rStyle w:val="normaltextrun"/>
                <w:rFonts w:ascii="Times New Roman" w:hAnsi="Times New Roman" w:cs="Times New Roman"/>
                <w:sz w:val="24"/>
                <w:szCs w:val="24"/>
                <w:lang w:val="sr-Cyrl-CS"/>
              </w:rPr>
              <w:t>19</w:t>
            </w:r>
            <w:r w:rsidRPr="004831AB">
              <w:rPr>
                <w:rFonts w:ascii="Times New Roman" w:eastAsia="Calibri" w:hAnsi="Times New Roman" w:cs="Times New Roman"/>
                <w:sz w:val="24"/>
                <w:szCs w:val="24"/>
                <w:lang w:val="sr-Cyrl-CS"/>
              </w:rPr>
              <w:t>.</w:t>
            </w:r>
            <w:r w:rsidR="00CE622E" w:rsidRPr="004831AB">
              <w:rPr>
                <w:rFonts w:ascii="Times New Roman" w:eastAsia="Calibri" w:hAnsi="Times New Roman" w:cs="Times New Roman"/>
                <w:lang w:val="sr-Cyrl-CS"/>
              </w:rPr>
              <w:t xml:space="preserve"> Међутим, представници МСПП сектора често немају довољно</w:t>
            </w:r>
            <w:r w:rsidR="00806861"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капацитета</w:t>
            </w:r>
            <w:r w:rsidR="00CE622E" w:rsidRPr="004831AB">
              <w:rPr>
                <w:rFonts w:ascii="Times New Roman" w:eastAsia="Calibri" w:hAnsi="Times New Roman" w:cs="Times New Roman"/>
                <w:lang w:val="sr-Cyrl-CS"/>
              </w:rPr>
              <w:t xml:space="preserve"> да сами </w:t>
            </w:r>
            <w:r w:rsidR="00732C97" w:rsidRPr="004831AB">
              <w:rPr>
                <w:rFonts w:ascii="Times New Roman" w:eastAsia="Calibri" w:hAnsi="Times New Roman" w:cs="Times New Roman"/>
                <w:lang w:val="sr-Cyrl-CS"/>
              </w:rPr>
              <w:t xml:space="preserve">спроведу </w:t>
            </w:r>
            <w:r w:rsidR="00CE622E" w:rsidRPr="004831AB">
              <w:rPr>
                <w:rFonts w:ascii="Times New Roman" w:eastAsia="Calibri" w:hAnsi="Times New Roman" w:cs="Times New Roman"/>
                <w:lang w:val="sr-Cyrl-CS"/>
              </w:rPr>
              <w:t>дигиталну трансформацију</w:t>
            </w:r>
            <w:r w:rsidRPr="004831AB">
              <w:rPr>
                <w:rFonts w:ascii="Times New Roman" w:eastAsia="Calibri" w:hAnsi="Times New Roman" w:cs="Times New Roman"/>
                <w:lang w:val="sr-Cyrl-CS"/>
              </w:rPr>
              <w:t xml:space="preserve"> свог</w:t>
            </w:r>
            <w:r w:rsidR="00CE622E" w:rsidRPr="004831AB">
              <w:rPr>
                <w:rFonts w:ascii="Times New Roman" w:eastAsia="Calibri" w:hAnsi="Times New Roman" w:cs="Times New Roman"/>
                <w:lang w:val="sr-Cyrl-CS"/>
              </w:rPr>
              <w:t xml:space="preserve"> пословања</w:t>
            </w:r>
            <w:r w:rsidR="00C22F14" w:rsidRPr="004831AB">
              <w:rPr>
                <w:rFonts w:ascii="Times New Roman" w:eastAsia="Calibri" w:hAnsi="Times New Roman" w:cs="Times New Roman"/>
                <w:lang w:val="sr-Cyrl-CS"/>
              </w:rPr>
              <w:t xml:space="preserve"> и уведу напредније видове дигитализације.</w:t>
            </w:r>
            <w:r w:rsidR="00CE622E"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Циљ ове мере је да, пре свега, </w:t>
            </w:r>
            <w:r w:rsidR="000778DC" w:rsidRPr="004831AB">
              <w:rPr>
                <w:rFonts w:ascii="Times New Roman" w:eastAsia="Calibri" w:hAnsi="Times New Roman" w:cs="Times New Roman"/>
                <w:lang w:val="sr-Cyrl-CS"/>
              </w:rPr>
              <w:t xml:space="preserve">пружи едукативну и </w:t>
            </w:r>
            <w:r w:rsidR="00C22F14" w:rsidRPr="004831AB">
              <w:rPr>
                <w:rFonts w:ascii="Times New Roman" w:eastAsia="Calibri" w:hAnsi="Times New Roman" w:cs="Times New Roman"/>
                <w:lang w:val="sr-Cyrl-CS"/>
              </w:rPr>
              <w:t xml:space="preserve">саветодавну </w:t>
            </w:r>
            <w:r w:rsidR="000778DC" w:rsidRPr="004831AB">
              <w:rPr>
                <w:rFonts w:ascii="Times New Roman" w:eastAsia="Calibri" w:hAnsi="Times New Roman" w:cs="Times New Roman"/>
                <w:lang w:val="sr-Cyrl-CS"/>
              </w:rPr>
              <w:t xml:space="preserve">подршку дигиталној трансформацији, </w:t>
            </w:r>
            <w:r w:rsidR="00C22F14" w:rsidRPr="004831AB">
              <w:rPr>
                <w:rFonts w:ascii="Times New Roman" w:eastAsia="Calibri" w:hAnsi="Times New Roman" w:cs="Times New Roman"/>
                <w:lang w:val="sr-Cyrl-CS"/>
              </w:rPr>
              <w:t>прилагођену специфичним потребама МСПП и</w:t>
            </w:r>
            <w:r w:rsidR="002C2014" w:rsidRPr="004831AB">
              <w:rPr>
                <w:rFonts w:ascii="Times New Roman" w:eastAsia="Calibri" w:hAnsi="Times New Roman" w:cs="Times New Roman"/>
                <w:lang w:val="sr-Cyrl-CS"/>
              </w:rPr>
              <w:t xml:space="preserve"> оснажи овај сектор</w:t>
            </w:r>
            <w:r w:rsidR="000778DC" w:rsidRPr="004831AB">
              <w:rPr>
                <w:rFonts w:ascii="Times New Roman" w:eastAsia="Calibri" w:hAnsi="Times New Roman" w:cs="Times New Roman"/>
                <w:lang w:val="sr-Cyrl-CS"/>
              </w:rPr>
              <w:t xml:space="preserve"> </w:t>
            </w:r>
            <w:r w:rsidR="00BB7742" w:rsidRPr="004831AB">
              <w:rPr>
                <w:rFonts w:ascii="Times New Roman" w:eastAsia="Calibri" w:hAnsi="Times New Roman" w:cs="Times New Roman"/>
                <w:lang w:val="sr-Cyrl-CS"/>
              </w:rPr>
              <w:t>у</w:t>
            </w:r>
            <w:r w:rsidR="000778DC" w:rsidRPr="004831AB">
              <w:rPr>
                <w:rFonts w:ascii="Times New Roman" w:eastAsia="Calibri" w:hAnsi="Times New Roman" w:cs="Times New Roman"/>
                <w:lang w:val="sr-Cyrl-CS"/>
              </w:rPr>
              <w:t xml:space="preserve"> е-трговини и користима које она доноси, као и да </w:t>
            </w:r>
            <w:r w:rsidR="00E54606" w:rsidRPr="004831AB">
              <w:rPr>
                <w:rFonts w:ascii="Times New Roman" w:eastAsia="Calibri" w:hAnsi="Times New Roman" w:cs="Times New Roman"/>
                <w:lang w:val="sr-Cyrl-CS"/>
              </w:rPr>
              <w:t xml:space="preserve">пружи </w:t>
            </w:r>
            <w:r w:rsidR="000778DC" w:rsidRPr="004831AB">
              <w:rPr>
                <w:rFonts w:ascii="Times New Roman" w:eastAsia="Calibri" w:hAnsi="Times New Roman" w:cs="Times New Roman"/>
                <w:lang w:val="sr-Cyrl-CS"/>
              </w:rPr>
              <w:t>подршку МСПП на путу дигитализације.</w:t>
            </w:r>
            <w:r w:rsidR="00C22F14" w:rsidRPr="004831AB">
              <w:rPr>
                <w:rFonts w:ascii="Times New Roman" w:eastAsia="Calibri" w:hAnsi="Times New Roman" w:cs="Times New Roman"/>
                <w:lang w:val="sr-Cyrl-CS"/>
              </w:rPr>
              <w:t xml:space="preserve"> </w:t>
            </w:r>
            <w:r w:rsidR="00732C97" w:rsidRPr="004831AB">
              <w:rPr>
                <w:rFonts w:ascii="Times New Roman" w:eastAsia="Calibri" w:hAnsi="Times New Roman" w:cs="Times New Roman"/>
                <w:lang w:val="sr-Cyrl-CS"/>
              </w:rPr>
              <w:t>Реализација м</w:t>
            </w:r>
            <w:r w:rsidR="00381BCB" w:rsidRPr="004831AB">
              <w:rPr>
                <w:rFonts w:ascii="Times New Roman" w:eastAsia="Calibri" w:hAnsi="Times New Roman" w:cs="Times New Roman"/>
                <w:lang w:val="sr-Cyrl-CS"/>
              </w:rPr>
              <w:t>ер</w:t>
            </w:r>
            <w:r w:rsidR="00732C97" w:rsidRPr="004831AB">
              <w:rPr>
                <w:rFonts w:ascii="Times New Roman" w:eastAsia="Calibri" w:hAnsi="Times New Roman" w:cs="Times New Roman"/>
                <w:lang w:val="sr-Cyrl-CS"/>
              </w:rPr>
              <w:t>е</w:t>
            </w:r>
            <w:r w:rsidR="00381BCB" w:rsidRPr="004831AB">
              <w:rPr>
                <w:rFonts w:ascii="Times New Roman" w:eastAsia="Calibri" w:hAnsi="Times New Roman" w:cs="Times New Roman"/>
                <w:lang w:val="sr-Cyrl-CS"/>
              </w:rPr>
              <w:t xml:space="preserve"> укључује активну сарадњу Министарства привреде са ПКС</w:t>
            </w:r>
            <w:r w:rsidR="00126AA3" w:rsidRPr="004831AB">
              <w:rPr>
                <w:rFonts w:ascii="Times New Roman" w:eastAsia="Calibri" w:hAnsi="Times New Roman" w:cs="Times New Roman"/>
                <w:lang w:val="sr-Cyrl-CS"/>
              </w:rPr>
              <w:t xml:space="preserve"> (Центар за дигиталну трансформацију</w:t>
            </w:r>
            <w:r w:rsidR="00D46243" w:rsidRPr="004831AB">
              <w:rPr>
                <w:rFonts w:ascii="Times New Roman" w:eastAsia="Calibri" w:hAnsi="Times New Roman" w:cs="Times New Roman"/>
                <w:lang w:val="sr-Cyrl-CS"/>
              </w:rPr>
              <w:t xml:space="preserve">). </w:t>
            </w:r>
            <w:r w:rsidR="00160A70" w:rsidRPr="004831AB">
              <w:rPr>
                <w:rFonts w:ascii="Times New Roman" w:eastAsia="Calibri" w:hAnsi="Times New Roman" w:cs="Times New Roman"/>
                <w:lang w:val="sr-Cyrl-CS"/>
              </w:rPr>
              <w:t>Активности ове мере су комплементарне Стратегији индустријске политике Републике Србије од 2021. до 2030. године.</w:t>
            </w:r>
          </w:p>
        </w:tc>
      </w:tr>
      <w:tr w:rsidR="00CE622E" w:rsidRPr="004831AB" w14:paraId="37EAEE9C" w14:textId="77777777" w:rsidTr="0056799A">
        <w:tc>
          <w:tcPr>
            <w:tcW w:w="1529" w:type="dxa"/>
          </w:tcPr>
          <w:p w14:paraId="361A2E64" w14:textId="054B0B90" w:rsidR="00CE622E" w:rsidRPr="004831AB" w:rsidRDefault="00806861"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 xml:space="preserve"> </w:t>
            </w:r>
            <w:r w:rsidR="00CE622E" w:rsidRPr="004831AB">
              <w:rPr>
                <w:rFonts w:ascii="Times New Roman" w:eastAsia="Calibri" w:hAnsi="Times New Roman" w:cs="Times New Roman"/>
                <w:bCs/>
                <w:lang w:val="sr-Cyrl-CS"/>
              </w:rPr>
              <w:t>Ефекти мере</w:t>
            </w:r>
          </w:p>
        </w:tc>
        <w:tc>
          <w:tcPr>
            <w:tcW w:w="7821" w:type="dxa"/>
            <w:gridSpan w:val="4"/>
          </w:tcPr>
          <w:p w14:paraId="257295D6" w14:textId="777BE19C" w:rsidR="00CE622E" w:rsidRPr="004831AB" w:rsidRDefault="00CE622E" w:rsidP="00F74BB7">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Мера доприноси повећању дигиталних знања и вештина</w:t>
            </w:r>
            <w:r w:rsidR="00732C97" w:rsidRPr="004831AB">
              <w:rPr>
                <w:rFonts w:ascii="Times New Roman" w:eastAsia="Calibri" w:hAnsi="Times New Roman" w:cs="Times New Roman"/>
                <w:lang w:val="sr-Cyrl-CS"/>
              </w:rPr>
              <w:t>, креирањ</w:t>
            </w:r>
            <w:r w:rsidR="000778DC" w:rsidRPr="004831AB">
              <w:rPr>
                <w:rFonts w:ascii="Times New Roman" w:eastAsia="Calibri" w:hAnsi="Times New Roman" w:cs="Times New Roman"/>
                <w:lang w:val="sr-Cyrl-CS"/>
              </w:rPr>
              <w:t>у</w:t>
            </w:r>
            <w:r w:rsidR="00732C97" w:rsidRPr="004831AB">
              <w:rPr>
                <w:rFonts w:ascii="Times New Roman" w:eastAsia="Calibri" w:hAnsi="Times New Roman" w:cs="Times New Roman"/>
                <w:lang w:val="sr-Cyrl-CS"/>
              </w:rPr>
              <w:t xml:space="preserve"> специфичних производа и услуга</w:t>
            </w:r>
            <w:r w:rsidRPr="004831AB">
              <w:rPr>
                <w:rFonts w:ascii="Times New Roman" w:eastAsia="Calibri" w:hAnsi="Times New Roman" w:cs="Times New Roman"/>
                <w:lang w:val="sr-Cyrl-CS"/>
              </w:rPr>
              <w:t xml:space="preserve"> и </w:t>
            </w:r>
            <w:r w:rsidR="000778DC" w:rsidRPr="004831AB">
              <w:rPr>
                <w:rFonts w:ascii="Times New Roman" w:eastAsia="Calibri" w:hAnsi="Times New Roman" w:cs="Times New Roman"/>
                <w:lang w:val="sr-Cyrl-CS"/>
              </w:rPr>
              <w:t xml:space="preserve">већем </w:t>
            </w:r>
            <w:r w:rsidRPr="004831AB">
              <w:rPr>
                <w:rFonts w:ascii="Times New Roman" w:eastAsia="Calibri" w:hAnsi="Times New Roman" w:cs="Times New Roman"/>
                <w:lang w:val="sr-Cyrl-CS"/>
              </w:rPr>
              <w:t>укључивањ</w:t>
            </w:r>
            <w:r w:rsidR="000778DC" w:rsidRPr="004831AB">
              <w:rPr>
                <w:rFonts w:ascii="Times New Roman" w:eastAsia="Calibri" w:hAnsi="Times New Roman" w:cs="Times New Roman"/>
                <w:lang w:val="sr-Cyrl-CS"/>
              </w:rPr>
              <w:t>у</w:t>
            </w:r>
            <w:r w:rsidRPr="004831AB">
              <w:rPr>
                <w:rFonts w:ascii="Times New Roman" w:eastAsia="Calibri" w:hAnsi="Times New Roman" w:cs="Times New Roman"/>
                <w:lang w:val="sr-Cyrl-CS"/>
              </w:rPr>
              <w:t xml:space="preserve"> у е- трговину МСПП сектора. На овај начин доприноси се </w:t>
            </w:r>
            <w:r w:rsidR="00381BCB" w:rsidRPr="004831AB">
              <w:rPr>
                <w:rFonts w:ascii="Times New Roman" w:eastAsia="Calibri" w:hAnsi="Times New Roman" w:cs="Times New Roman"/>
                <w:lang w:val="sr-Cyrl-CS"/>
              </w:rPr>
              <w:t xml:space="preserve">већој примени </w:t>
            </w:r>
            <w:r w:rsidRPr="004831AB">
              <w:rPr>
                <w:rFonts w:ascii="Times New Roman" w:eastAsia="Calibri" w:hAnsi="Times New Roman" w:cs="Times New Roman"/>
                <w:lang w:val="sr-Cyrl-CS"/>
              </w:rPr>
              <w:t xml:space="preserve">дигитализованих решења према утврђеним потребама </w:t>
            </w:r>
            <w:r w:rsidR="00732C97" w:rsidRPr="004831AB">
              <w:rPr>
                <w:rFonts w:ascii="Times New Roman" w:eastAsia="Calibri" w:hAnsi="Times New Roman" w:cs="Times New Roman"/>
                <w:lang w:val="sr-Cyrl-CS"/>
              </w:rPr>
              <w:t>која поспешују убрзану</w:t>
            </w:r>
            <w:r w:rsidR="000778DC"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трансформациј</w:t>
            </w:r>
            <w:r w:rsidR="00732C97" w:rsidRPr="004831AB">
              <w:rPr>
                <w:rFonts w:ascii="Times New Roman" w:eastAsia="Calibri" w:hAnsi="Times New Roman" w:cs="Times New Roman"/>
                <w:lang w:val="sr-Cyrl-CS"/>
              </w:rPr>
              <w:t>у МСПП</w:t>
            </w:r>
            <w:r w:rsidRPr="004831AB">
              <w:rPr>
                <w:rFonts w:ascii="Times New Roman" w:eastAsia="Calibri" w:hAnsi="Times New Roman" w:cs="Times New Roman"/>
                <w:lang w:val="sr-Cyrl-CS"/>
              </w:rPr>
              <w:t>.</w:t>
            </w:r>
          </w:p>
        </w:tc>
      </w:tr>
    </w:tbl>
    <w:p w14:paraId="4AD0B588" w14:textId="77777777" w:rsidR="00B441E7" w:rsidRPr="004831AB" w:rsidRDefault="00B441E7" w:rsidP="00EA2A9C">
      <w:pPr>
        <w:pStyle w:val="Heading2"/>
        <w:spacing w:before="240"/>
        <w:jc w:val="center"/>
        <w:rPr>
          <w:b w:val="0"/>
          <w:lang w:val="sr-Cyrl-CS"/>
        </w:rPr>
      </w:pPr>
    </w:p>
    <w:p w14:paraId="43D0FA99" w14:textId="74ADBBC7" w:rsidR="00837526" w:rsidRPr="004831AB" w:rsidRDefault="00837526" w:rsidP="00EA2A9C">
      <w:pPr>
        <w:pStyle w:val="Heading2"/>
        <w:spacing w:before="240"/>
        <w:jc w:val="center"/>
        <w:rPr>
          <w:b w:val="0"/>
          <w:lang w:val="sr-Cyrl-CS"/>
        </w:rPr>
      </w:pPr>
      <w:r w:rsidRPr="004831AB">
        <w:rPr>
          <w:b w:val="0"/>
          <w:lang w:val="sr-Cyrl-CS"/>
        </w:rPr>
        <w:t>Посебан циљ III: Конкурентан МСПП сектор – Ојачана конкурентност МСПП на домаћем и страном тржишту</w:t>
      </w:r>
    </w:p>
    <w:p w14:paraId="432A9167" w14:textId="77777777" w:rsidR="00CE622E" w:rsidRPr="004831AB" w:rsidRDefault="00CE622E" w:rsidP="00237903">
      <w:pPr>
        <w:pStyle w:val="Heading3"/>
        <w:jc w:val="both"/>
        <w:rPr>
          <w:rFonts w:eastAsia="Times New Roman"/>
          <w:bCs/>
          <w:lang w:val="sr-Cyrl-CS"/>
        </w:rPr>
      </w:pPr>
      <w:r w:rsidRPr="004831AB">
        <w:rPr>
          <w:rFonts w:eastAsia="Times New Roman"/>
          <w:bCs/>
          <w:lang w:val="sr-Cyrl-CS"/>
        </w:rPr>
        <w:t xml:space="preserve">Мера 3.1: </w:t>
      </w:r>
      <w:r w:rsidR="003A1D31" w:rsidRPr="004831AB">
        <w:rPr>
          <w:rFonts w:eastAsia="Times New Roman"/>
          <w:bCs/>
          <w:lang w:val="sr-Cyrl-CS"/>
        </w:rPr>
        <w:t>Подршка МСПП за јачање капацитета за управљање људским капиталом</w:t>
      </w:r>
      <w:r w:rsidR="005A01F9" w:rsidRPr="004831AB">
        <w:rPr>
          <w:rFonts w:eastAsia="Times New Roman"/>
          <w:bCs/>
          <w:lang w:val="sr-Cyrl-CS"/>
        </w:rPr>
        <w:t xml:space="preserve">  </w:t>
      </w:r>
    </w:p>
    <w:tbl>
      <w:tblPr>
        <w:tblStyle w:val="TableGrid"/>
        <w:tblW w:w="0" w:type="auto"/>
        <w:tblLook w:val="04A0" w:firstRow="1" w:lastRow="0" w:firstColumn="1" w:lastColumn="0" w:noHBand="0" w:noVBand="1"/>
      </w:tblPr>
      <w:tblGrid>
        <w:gridCol w:w="1540"/>
        <w:gridCol w:w="3150"/>
        <w:gridCol w:w="1562"/>
        <w:gridCol w:w="1549"/>
        <w:gridCol w:w="1549"/>
      </w:tblGrid>
      <w:tr w:rsidR="003A1D31" w:rsidRPr="004831AB" w14:paraId="45216E01" w14:textId="77777777" w:rsidTr="001F3BDC">
        <w:tc>
          <w:tcPr>
            <w:tcW w:w="1540" w:type="dxa"/>
          </w:tcPr>
          <w:p w14:paraId="531903BE" w14:textId="77777777" w:rsidR="003A1D31" w:rsidRPr="004831AB" w:rsidRDefault="003A1D31" w:rsidP="003A1D3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150" w:type="dxa"/>
          </w:tcPr>
          <w:p w14:paraId="01B17C60"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Информативно - едукативна</w:t>
            </w:r>
          </w:p>
        </w:tc>
        <w:tc>
          <w:tcPr>
            <w:tcW w:w="1562" w:type="dxa"/>
          </w:tcPr>
          <w:p w14:paraId="10FD1504"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3098" w:type="dxa"/>
            <w:gridSpan w:val="2"/>
          </w:tcPr>
          <w:p w14:paraId="581BFF63"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302876" w:rsidRPr="004831AB" w14:paraId="32CDF682" w14:textId="77777777" w:rsidTr="003A1D31">
        <w:tc>
          <w:tcPr>
            <w:tcW w:w="1540" w:type="dxa"/>
          </w:tcPr>
          <w:p w14:paraId="2E85EB90"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150" w:type="dxa"/>
          </w:tcPr>
          <w:p w14:paraId="62AACCED"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562" w:type="dxa"/>
          </w:tcPr>
          <w:p w14:paraId="4D84833A"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549" w:type="dxa"/>
          </w:tcPr>
          <w:p w14:paraId="6FAB2DD2"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549" w:type="dxa"/>
          </w:tcPr>
          <w:p w14:paraId="1509C4C2"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302876" w:rsidRPr="004831AB" w14:paraId="2B1029F8" w14:textId="77777777" w:rsidTr="003A1D31">
        <w:tc>
          <w:tcPr>
            <w:tcW w:w="1540" w:type="dxa"/>
          </w:tcPr>
          <w:p w14:paraId="22769D43"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150" w:type="dxa"/>
          </w:tcPr>
          <w:p w14:paraId="3B7BEA7B" w14:textId="77777777" w:rsidR="00302876" w:rsidRPr="004831AB" w:rsidRDefault="00302876" w:rsidP="00302876">
            <w:pPr>
              <w:rPr>
                <w:rFonts w:ascii="Times New Roman" w:eastAsia="Calibri" w:hAnsi="Times New Roman" w:cs="Times New Roman"/>
                <w:lang w:val="sr-Cyrl-CS"/>
              </w:rPr>
            </w:pPr>
            <w:r w:rsidRPr="004831AB">
              <w:rPr>
                <w:rFonts w:ascii="Times New Roman" w:eastAsia="Calibri" w:hAnsi="Times New Roman" w:cs="Times New Roman"/>
                <w:lang w:val="sr-Cyrl-CS"/>
              </w:rPr>
              <w:t>Број МСПП који учествују у дуалном образовању</w:t>
            </w:r>
          </w:p>
        </w:tc>
        <w:tc>
          <w:tcPr>
            <w:tcW w:w="1562" w:type="dxa"/>
          </w:tcPr>
          <w:p w14:paraId="1BDF540B" w14:textId="77777777" w:rsidR="00302876" w:rsidRPr="004831AB" w:rsidRDefault="00302876" w:rsidP="00302876">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Извештај  Министарства просвете и ПКС </w:t>
            </w:r>
          </w:p>
        </w:tc>
        <w:tc>
          <w:tcPr>
            <w:tcW w:w="1549" w:type="dxa"/>
          </w:tcPr>
          <w:p w14:paraId="61A7D7ED" w14:textId="77777777" w:rsidR="00302876" w:rsidRPr="004831AB" w:rsidRDefault="00D46243" w:rsidP="00302876">
            <w:pPr>
              <w:rPr>
                <w:rFonts w:ascii="Times New Roman" w:eastAsia="Calibri" w:hAnsi="Times New Roman" w:cs="Times New Roman"/>
                <w:lang w:val="sr-Cyrl-CS"/>
              </w:rPr>
            </w:pPr>
            <w:r w:rsidRPr="004831AB">
              <w:rPr>
                <w:rFonts w:ascii="Times New Roman" w:eastAsia="Calibri" w:hAnsi="Times New Roman" w:cs="Times New Roman"/>
                <w:lang w:val="sr-Cyrl-CS"/>
              </w:rPr>
              <w:t>700 (2022)</w:t>
            </w:r>
          </w:p>
        </w:tc>
        <w:tc>
          <w:tcPr>
            <w:tcW w:w="1549" w:type="dxa"/>
          </w:tcPr>
          <w:p w14:paraId="7F138632" w14:textId="77777777" w:rsidR="00302876" w:rsidRPr="004831AB" w:rsidRDefault="001021C8" w:rsidP="00302876">
            <w:pPr>
              <w:rPr>
                <w:rFonts w:ascii="Times New Roman" w:eastAsia="Calibri" w:hAnsi="Times New Roman" w:cs="Times New Roman"/>
                <w:lang w:val="sr-Cyrl-CS"/>
              </w:rPr>
            </w:pPr>
            <w:r w:rsidRPr="004831AB">
              <w:rPr>
                <w:rFonts w:ascii="Times New Roman" w:eastAsia="Calibri" w:hAnsi="Times New Roman" w:cs="Times New Roman"/>
                <w:lang w:val="sr-Cyrl-CS"/>
              </w:rPr>
              <w:t>1300</w:t>
            </w:r>
          </w:p>
        </w:tc>
      </w:tr>
      <w:tr w:rsidR="00CE622E" w:rsidRPr="004831AB" w14:paraId="4E5DECD6" w14:textId="77777777" w:rsidTr="003A1D31">
        <w:tc>
          <w:tcPr>
            <w:tcW w:w="1540" w:type="dxa"/>
          </w:tcPr>
          <w:p w14:paraId="2626E809"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10" w:type="dxa"/>
            <w:gridSpan w:val="4"/>
          </w:tcPr>
          <w:p w14:paraId="3DA06C0C" w14:textId="14829ABD" w:rsidR="00CE622E" w:rsidRPr="004831AB" w:rsidRDefault="009C1E65" w:rsidP="008B5981">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Недостатак радне снаге</w:t>
            </w:r>
            <w:r w:rsidR="00C22F14" w:rsidRPr="004831AB">
              <w:rPr>
                <w:rFonts w:ascii="Times New Roman" w:eastAsia="Calibri" w:hAnsi="Times New Roman" w:cs="Times New Roman"/>
                <w:lang w:val="sr-Cyrl-CS"/>
              </w:rPr>
              <w:t xml:space="preserve"> и спремности </w:t>
            </w:r>
            <w:r w:rsidR="008E2D9F" w:rsidRPr="004831AB">
              <w:rPr>
                <w:rFonts w:ascii="Times New Roman" w:eastAsia="Calibri" w:hAnsi="Times New Roman" w:cs="Times New Roman"/>
                <w:lang w:val="sr-Cyrl-CS"/>
              </w:rPr>
              <w:t xml:space="preserve">потенцијалних запослених </w:t>
            </w:r>
            <w:r w:rsidR="00C22F14" w:rsidRPr="004831AB">
              <w:rPr>
                <w:rFonts w:ascii="Times New Roman" w:eastAsia="Calibri" w:hAnsi="Times New Roman" w:cs="Times New Roman"/>
                <w:lang w:val="sr-Cyrl-CS"/>
              </w:rPr>
              <w:t>да раде у домаћим МСПП</w:t>
            </w:r>
            <w:r w:rsidRPr="004831AB">
              <w:rPr>
                <w:rFonts w:ascii="Times New Roman" w:eastAsia="Calibri" w:hAnsi="Times New Roman" w:cs="Times New Roman"/>
                <w:lang w:val="sr-Cyrl-CS"/>
              </w:rPr>
              <w:t xml:space="preserve">, како по питању броја, тако и квалитета, један је од најважнијих проблема са којима се МСПП у </w:t>
            </w:r>
            <w:r w:rsidR="00EA2A9C" w:rsidRPr="004831AB">
              <w:rPr>
                <w:rFonts w:ascii="Times New Roman" w:eastAsia="Calibri" w:hAnsi="Times New Roman" w:cs="Times New Roman"/>
                <w:lang w:val="sr-Cyrl-CS"/>
              </w:rPr>
              <w:t>Републиц</w:t>
            </w:r>
            <w:r w:rsidR="00721695" w:rsidRPr="004831AB">
              <w:rPr>
                <w:rFonts w:ascii="Times New Roman" w:eastAsia="Calibri" w:hAnsi="Times New Roman" w:cs="Times New Roman"/>
                <w:lang w:val="sr-Cyrl-CS"/>
              </w:rPr>
              <w:t>и</w:t>
            </w:r>
            <w:r w:rsidR="00EA2A9C"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Србији сусрећу. Ово питање се нарочито истиче у последњих неколико година, када се јавља потреба и увоза радне снаге. Ова мера за циљ има да помогне МСПП да сагледају начине и модалитете за привлачење и задржавање радне снаге, као и да оснажи интерне капацитете МСПП. Посебна пажња биће посвећена и спровођењу </w:t>
            </w:r>
            <w:r w:rsidR="00D46243" w:rsidRPr="004831AB">
              <w:rPr>
                <w:rFonts w:ascii="Times New Roman" w:eastAsia="Calibri" w:hAnsi="Times New Roman" w:cs="Times New Roman"/>
                <w:lang w:val="sr-Cyrl-CS"/>
              </w:rPr>
              <w:t xml:space="preserve">анкета о </w:t>
            </w:r>
            <w:r w:rsidRPr="004831AB">
              <w:rPr>
                <w:rFonts w:ascii="Times New Roman" w:eastAsia="Calibri" w:hAnsi="Times New Roman" w:cs="Times New Roman"/>
                <w:lang w:val="sr-Cyrl-CS"/>
              </w:rPr>
              <w:t>потреба</w:t>
            </w:r>
            <w:r w:rsidR="00D46243" w:rsidRPr="004831AB">
              <w:rPr>
                <w:rFonts w:ascii="Times New Roman" w:eastAsia="Calibri" w:hAnsi="Times New Roman" w:cs="Times New Roman"/>
                <w:lang w:val="sr-Cyrl-CS"/>
              </w:rPr>
              <w:t>ма</w:t>
            </w:r>
            <w:r w:rsidRPr="004831AB">
              <w:rPr>
                <w:rFonts w:ascii="Times New Roman" w:eastAsia="Calibri" w:hAnsi="Times New Roman" w:cs="Times New Roman"/>
                <w:lang w:val="sr-Cyrl-CS"/>
              </w:rPr>
              <w:t xml:space="preserve"> </w:t>
            </w:r>
            <w:r w:rsidR="00D46243" w:rsidRPr="004831AB">
              <w:rPr>
                <w:rFonts w:ascii="Times New Roman" w:eastAsia="Calibri" w:hAnsi="Times New Roman" w:cs="Times New Roman"/>
                <w:lang w:val="sr-Cyrl-CS"/>
              </w:rPr>
              <w:t>послодаваца</w:t>
            </w:r>
            <w:r w:rsidR="00C22F14" w:rsidRPr="004831AB">
              <w:rPr>
                <w:rFonts w:ascii="Times New Roman" w:eastAsia="Calibri" w:hAnsi="Times New Roman" w:cs="Times New Roman"/>
                <w:lang w:val="sr-Cyrl-CS"/>
              </w:rPr>
              <w:t>,</w:t>
            </w:r>
            <w:r w:rsidR="008E2D9F" w:rsidRPr="004831AB">
              <w:rPr>
                <w:rFonts w:ascii="Times New Roman" w:eastAsia="Calibri" w:hAnsi="Times New Roman" w:cs="Times New Roman"/>
                <w:lang w:val="sr-Cyrl-CS"/>
              </w:rPr>
              <w:t xml:space="preserve"> унапређењу квалитета кадрова</w:t>
            </w:r>
            <w:r w:rsidR="00EA2A9C" w:rsidRPr="004831AB">
              <w:rPr>
                <w:rFonts w:ascii="Times New Roman" w:eastAsia="Calibri" w:hAnsi="Times New Roman" w:cs="Times New Roman"/>
                <w:lang w:val="sr-Cyrl-CS"/>
              </w:rPr>
              <w:t>,</w:t>
            </w:r>
            <w:r w:rsidR="00C22F14" w:rsidRPr="004831AB">
              <w:rPr>
                <w:rFonts w:ascii="Times New Roman" w:eastAsia="Calibri" w:hAnsi="Times New Roman" w:cs="Times New Roman"/>
                <w:lang w:val="sr-Cyrl-CS"/>
              </w:rPr>
              <w:t xml:space="preserve"> као и </w:t>
            </w:r>
            <w:r w:rsidR="008B5981" w:rsidRPr="004831AB">
              <w:rPr>
                <w:rFonts w:ascii="Times New Roman" w:eastAsia="Calibri" w:hAnsi="Times New Roman" w:cs="Times New Roman"/>
                <w:lang w:val="sr-Cyrl-CS"/>
              </w:rPr>
              <w:t xml:space="preserve">унапређењу укључивања </w:t>
            </w:r>
            <w:r w:rsidR="00C22F14" w:rsidRPr="004831AB">
              <w:rPr>
                <w:rFonts w:ascii="Times New Roman" w:eastAsia="Calibri" w:hAnsi="Times New Roman" w:cs="Times New Roman"/>
                <w:lang w:val="sr-Cyrl-CS"/>
              </w:rPr>
              <w:t>МСПП у модел дуалног образовања.</w:t>
            </w:r>
            <w:r w:rsidR="0017073C" w:rsidRPr="004831AB">
              <w:rPr>
                <w:rFonts w:ascii="Times New Roman" w:eastAsia="Calibri" w:hAnsi="Times New Roman" w:cs="Times New Roman"/>
                <w:lang w:val="sr-Cyrl-CS"/>
              </w:rPr>
              <w:t xml:space="preserve"> </w:t>
            </w:r>
            <w:r w:rsidR="00160A70" w:rsidRPr="004831AB">
              <w:rPr>
                <w:rFonts w:ascii="Times New Roman" w:eastAsia="Calibri" w:hAnsi="Times New Roman" w:cs="Times New Roman"/>
                <w:lang w:val="sr-Cyrl-CS"/>
              </w:rPr>
              <w:t>Подршка запошљавању у МСПП, као и образовању и оспособљавању радне снаге предвиђена је другим планским документима</w:t>
            </w:r>
            <w:r w:rsidR="00E54606" w:rsidRPr="004831AB">
              <w:rPr>
                <w:rFonts w:ascii="Times New Roman" w:eastAsia="Calibri" w:hAnsi="Times New Roman" w:cs="Times New Roman"/>
                <w:lang w:val="sr-Cyrl-CS"/>
              </w:rPr>
              <w:t xml:space="preserve"> (</w:t>
            </w:r>
            <w:r w:rsidR="00160A70" w:rsidRPr="004831AB">
              <w:rPr>
                <w:rFonts w:ascii="Times New Roman" w:eastAsia="Calibri" w:hAnsi="Times New Roman" w:cs="Times New Roman"/>
                <w:lang w:val="sr-Cyrl-CS"/>
              </w:rPr>
              <w:t xml:space="preserve">Стратегија запошљавања у Републици Србији за период од 2021. до 2026. године </w:t>
            </w:r>
            <w:r w:rsidR="00021C42" w:rsidRPr="004831AB">
              <w:rPr>
                <w:rFonts w:ascii="Times New Roman" w:eastAsia="Calibri" w:hAnsi="Times New Roman" w:cs="Times New Roman"/>
                <w:lang w:val="sr-Cyrl-CS"/>
              </w:rPr>
              <w:t xml:space="preserve"> и </w:t>
            </w:r>
            <w:r w:rsidR="00B238BB" w:rsidRPr="004831AB">
              <w:rPr>
                <w:rFonts w:ascii="Times New Roman" w:eastAsia="Calibri" w:hAnsi="Times New Roman" w:cs="Times New Roman"/>
                <w:lang w:val="sr-Cyrl-CS"/>
              </w:rPr>
              <w:t>Стратегија развоја образовања и васпитања у Републици Србији до 2030.</w:t>
            </w:r>
            <w:r w:rsidR="00021C42" w:rsidRPr="004831AB">
              <w:rPr>
                <w:rFonts w:ascii="Times New Roman" w:eastAsia="Calibri" w:hAnsi="Times New Roman" w:cs="Times New Roman"/>
                <w:lang w:val="sr-Cyrl-CS"/>
              </w:rPr>
              <w:t xml:space="preserve"> године</w:t>
            </w:r>
            <w:r w:rsidR="00E54606" w:rsidRPr="004831AB">
              <w:rPr>
                <w:rFonts w:ascii="Times New Roman" w:eastAsia="Calibri" w:hAnsi="Times New Roman" w:cs="Times New Roman"/>
                <w:lang w:val="sr-Cyrl-CS"/>
              </w:rPr>
              <w:t>)</w:t>
            </w:r>
            <w:r w:rsidR="00B238BB" w:rsidRPr="004831AB">
              <w:rPr>
                <w:rFonts w:ascii="Times New Roman" w:eastAsia="Calibri" w:hAnsi="Times New Roman" w:cs="Times New Roman"/>
                <w:lang w:val="sr-Cyrl-CS"/>
              </w:rPr>
              <w:t xml:space="preserve">, те ће активности ове мере </w:t>
            </w:r>
            <w:r w:rsidR="00B238BB" w:rsidRPr="004831AB">
              <w:rPr>
                <w:rFonts w:ascii="Times New Roman" w:eastAsia="Calibri" w:hAnsi="Times New Roman" w:cs="Times New Roman"/>
                <w:bCs/>
                <w:lang w:val="sr-Cyrl-CS"/>
              </w:rPr>
              <w:t>допуњавати</w:t>
            </w:r>
            <w:r w:rsidR="00B238BB" w:rsidRPr="004831AB">
              <w:rPr>
                <w:rFonts w:ascii="Times New Roman" w:eastAsia="Calibri" w:hAnsi="Times New Roman" w:cs="Times New Roman"/>
                <w:lang w:val="sr-Cyrl-CS"/>
              </w:rPr>
              <w:t xml:space="preserve"> </w:t>
            </w:r>
            <w:r w:rsidR="00B238BB" w:rsidRPr="004831AB">
              <w:rPr>
                <w:rFonts w:ascii="Times New Roman" w:eastAsia="Calibri" w:hAnsi="Times New Roman" w:cs="Times New Roman"/>
                <w:bCs/>
                <w:lang w:val="sr-Cyrl-CS"/>
              </w:rPr>
              <w:t>већ предвиђене у тим документима</w:t>
            </w:r>
            <w:r w:rsidR="00B238BB" w:rsidRPr="004831AB">
              <w:rPr>
                <w:rFonts w:ascii="Times New Roman" w:eastAsia="Calibri" w:hAnsi="Times New Roman" w:cs="Times New Roman"/>
                <w:lang w:val="sr-Cyrl-CS"/>
              </w:rPr>
              <w:t xml:space="preserve">. </w:t>
            </w:r>
          </w:p>
        </w:tc>
      </w:tr>
      <w:tr w:rsidR="00CE622E" w:rsidRPr="004831AB" w14:paraId="5F17FB63" w14:textId="77777777" w:rsidTr="003A1D31">
        <w:tc>
          <w:tcPr>
            <w:tcW w:w="1540" w:type="dxa"/>
          </w:tcPr>
          <w:p w14:paraId="0453BDD7"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Ефекти мере</w:t>
            </w:r>
          </w:p>
        </w:tc>
        <w:tc>
          <w:tcPr>
            <w:tcW w:w="7810" w:type="dxa"/>
            <w:gridSpan w:val="4"/>
          </w:tcPr>
          <w:p w14:paraId="1BA68A65" w14:textId="77777777" w:rsidR="00CE622E" w:rsidRPr="004831AB" w:rsidRDefault="00CE622E" w:rsidP="00584997">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Мера ће обезбедити бољи квалитет кадра у МСПП сектору</w:t>
            </w:r>
            <w:r w:rsidR="008B33EE" w:rsidRPr="004831AB">
              <w:rPr>
                <w:rFonts w:ascii="Times New Roman" w:eastAsia="Calibri" w:hAnsi="Times New Roman" w:cs="Times New Roman"/>
                <w:lang w:val="sr-Cyrl-CS"/>
              </w:rPr>
              <w:t xml:space="preserve"> заснован на унапређеним знањима и вештинама</w:t>
            </w:r>
            <w:r w:rsidRPr="004831AB">
              <w:rPr>
                <w:rFonts w:ascii="Times New Roman" w:eastAsia="Calibri" w:hAnsi="Times New Roman" w:cs="Times New Roman"/>
                <w:lang w:val="sr-Cyrl-CS"/>
              </w:rPr>
              <w:t xml:space="preserve">, чиме ће се повећати конкурентност МСПП. </w:t>
            </w:r>
          </w:p>
        </w:tc>
      </w:tr>
    </w:tbl>
    <w:p w14:paraId="3613F5BC" w14:textId="77777777" w:rsidR="00CE622E" w:rsidRPr="004831AB" w:rsidRDefault="00CE622E" w:rsidP="00CE622E">
      <w:pPr>
        <w:rPr>
          <w:rFonts w:ascii="Times New Roman" w:eastAsia="Calibri" w:hAnsi="Times New Roman" w:cs="Times New Roman"/>
          <w:lang w:val="sr-Cyrl-CS"/>
        </w:rPr>
      </w:pPr>
    </w:p>
    <w:p w14:paraId="36C6EEEF" w14:textId="0C86F4DC" w:rsidR="00CE622E" w:rsidRPr="004831AB" w:rsidRDefault="00CE622E" w:rsidP="00237903">
      <w:pPr>
        <w:pStyle w:val="Heading3"/>
        <w:jc w:val="both"/>
        <w:rPr>
          <w:rFonts w:eastAsia="Times New Roman"/>
          <w:bCs/>
          <w:lang w:val="sr-Cyrl-CS"/>
        </w:rPr>
      </w:pPr>
      <w:r w:rsidRPr="004831AB">
        <w:rPr>
          <w:rFonts w:eastAsia="Times New Roman"/>
          <w:bCs/>
          <w:lang w:val="sr-Cyrl-CS"/>
        </w:rPr>
        <w:t xml:space="preserve">Мера 3.2: </w:t>
      </w:r>
      <w:r w:rsidR="002E4F26" w:rsidRPr="004831AB">
        <w:rPr>
          <w:rFonts w:eastAsia="Times New Roman"/>
          <w:bCs/>
          <w:lang w:val="sr-Cyrl-CS"/>
        </w:rPr>
        <w:t>Интензивирање п</w:t>
      </w:r>
      <w:r w:rsidR="0034076A" w:rsidRPr="004831AB">
        <w:rPr>
          <w:rFonts w:eastAsia="Times New Roman"/>
          <w:bCs/>
          <w:lang w:val="sr-Cyrl-CS"/>
        </w:rPr>
        <w:t>одршк</w:t>
      </w:r>
      <w:r w:rsidR="002E4F26" w:rsidRPr="004831AB">
        <w:rPr>
          <w:rFonts w:eastAsia="Times New Roman"/>
          <w:bCs/>
          <w:lang w:val="sr-Cyrl-CS"/>
        </w:rPr>
        <w:t>е</w:t>
      </w:r>
      <w:r w:rsidR="0034076A" w:rsidRPr="004831AB">
        <w:rPr>
          <w:rFonts w:eastAsia="Times New Roman"/>
          <w:bCs/>
          <w:lang w:val="sr-Cyrl-CS"/>
        </w:rPr>
        <w:t xml:space="preserve"> за инвестирање, приступ финансирању и реализациј</w:t>
      </w:r>
      <w:r w:rsidR="00D46243" w:rsidRPr="004831AB">
        <w:rPr>
          <w:rFonts w:eastAsia="Times New Roman"/>
          <w:bCs/>
          <w:lang w:val="sr-Cyrl-CS"/>
        </w:rPr>
        <w:t>а</w:t>
      </w:r>
      <w:r w:rsidR="0034076A" w:rsidRPr="004831AB">
        <w:rPr>
          <w:rFonts w:eastAsia="Times New Roman"/>
          <w:bCs/>
          <w:lang w:val="sr-Cyrl-CS"/>
        </w:rPr>
        <w:t xml:space="preserve"> финансијских трансакција МСПП</w:t>
      </w:r>
      <w:r w:rsidR="002E4F26" w:rsidRPr="004831AB">
        <w:rPr>
          <w:rFonts w:eastAsia="Times New Roman"/>
          <w:bCs/>
          <w:lang w:val="sr-Cyrl-CS"/>
        </w:rPr>
        <w:t xml:space="preserve"> кроз постојеће и нове програме</w:t>
      </w:r>
    </w:p>
    <w:tbl>
      <w:tblPr>
        <w:tblStyle w:val="TableGrid"/>
        <w:tblW w:w="0" w:type="auto"/>
        <w:tblLook w:val="04A0" w:firstRow="1" w:lastRow="0" w:firstColumn="1" w:lastColumn="0" w:noHBand="0" w:noVBand="1"/>
      </w:tblPr>
      <w:tblGrid>
        <w:gridCol w:w="1501"/>
        <w:gridCol w:w="2845"/>
        <w:gridCol w:w="1603"/>
        <w:gridCol w:w="65"/>
        <w:gridCol w:w="1668"/>
        <w:gridCol w:w="1668"/>
      </w:tblGrid>
      <w:tr w:rsidR="003A1D31" w:rsidRPr="004831AB" w14:paraId="209ED9A1" w14:textId="77777777" w:rsidTr="001F3BDC">
        <w:tc>
          <w:tcPr>
            <w:tcW w:w="1501" w:type="dxa"/>
          </w:tcPr>
          <w:p w14:paraId="08C9252A" w14:textId="77777777" w:rsidR="003A1D31" w:rsidRPr="004831AB" w:rsidRDefault="003A1D31" w:rsidP="003A1D3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2845" w:type="dxa"/>
          </w:tcPr>
          <w:p w14:paraId="27A363AC"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603" w:type="dxa"/>
          </w:tcPr>
          <w:p w14:paraId="423385CA"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3401" w:type="dxa"/>
            <w:gridSpan w:val="3"/>
          </w:tcPr>
          <w:p w14:paraId="4DA07B16"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302876" w:rsidRPr="004831AB" w14:paraId="7C1BEAEE" w14:textId="77777777" w:rsidTr="001F3BDC">
        <w:tc>
          <w:tcPr>
            <w:tcW w:w="1501" w:type="dxa"/>
          </w:tcPr>
          <w:p w14:paraId="090FB8C7"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2845" w:type="dxa"/>
          </w:tcPr>
          <w:p w14:paraId="3B30621D"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668" w:type="dxa"/>
            <w:gridSpan w:val="2"/>
          </w:tcPr>
          <w:p w14:paraId="4A30D8BD"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668" w:type="dxa"/>
          </w:tcPr>
          <w:p w14:paraId="4EF79B35"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668" w:type="dxa"/>
          </w:tcPr>
          <w:p w14:paraId="0C0A2436"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302876" w:rsidRPr="004831AB" w14:paraId="6E15E9FE" w14:textId="77777777" w:rsidTr="001F3BDC">
        <w:tc>
          <w:tcPr>
            <w:tcW w:w="1501" w:type="dxa"/>
          </w:tcPr>
          <w:p w14:paraId="561098F5" w14:textId="77777777" w:rsidR="00302876" w:rsidRPr="004831AB" w:rsidRDefault="00302876"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2845" w:type="dxa"/>
          </w:tcPr>
          <w:p w14:paraId="55C8C971" w14:textId="77777777" w:rsidR="00302876" w:rsidRPr="004831AB" w:rsidRDefault="00A561C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 </w:t>
            </w:r>
            <w:r w:rsidR="003A1D31" w:rsidRPr="004831AB">
              <w:rPr>
                <w:rFonts w:ascii="Times New Roman" w:eastAsia="Calibri" w:hAnsi="Times New Roman" w:cs="Times New Roman"/>
                <w:lang w:val="sr-Cyrl-CS"/>
              </w:rPr>
              <w:t xml:space="preserve">Учешће инвестиција  МСПП у БДВ сектора </w:t>
            </w:r>
            <w:r w:rsidR="00302876" w:rsidRPr="004831AB">
              <w:rPr>
                <w:rFonts w:ascii="Times New Roman" w:eastAsia="Calibri" w:hAnsi="Times New Roman" w:cs="Times New Roman"/>
                <w:lang w:val="sr-Cyrl-CS"/>
              </w:rPr>
              <w:t>(%)</w:t>
            </w:r>
          </w:p>
        </w:tc>
        <w:tc>
          <w:tcPr>
            <w:tcW w:w="1668" w:type="dxa"/>
            <w:gridSpan w:val="2"/>
          </w:tcPr>
          <w:p w14:paraId="12E4D71C" w14:textId="77777777" w:rsidR="00302876" w:rsidRPr="004831AB"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Извештај о МСПП</w:t>
            </w:r>
          </w:p>
        </w:tc>
        <w:tc>
          <w:tcPr>
            <w:tcW w:w="1668" w:type="dxa"/>
          </w:tcPr>
          <w:p w14:paraId="701D0597" w14:textId="77777777" w:rsidR="00302876" w:rsidRPr="004831AB" w:rsidRDefault="00A561C7"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24,8% (</w:t>
            </w:r>
            <w:r w:rsidRPr="004831AB">
              <w:rPr>
                <w:lang w:val="sr-Cyrl-CS"/>
              </w:rPr>
              <w:t>202</w:t>
            </w:r>
            <w:r w:rsidR="003A1D31" w:rsidRPr="004831AB">
              <w:rPr>
                <w:rFonts w:ascii="Times New Roman" w:eastAsia="Calibri" w:hAnsi="Times New Roman" w:cs="Times New Roman"/>
                <w:lang w:val="sr-Cyrl-CS"/>
              </w:rPr>
              <w:t>1</w:t>
            </w:r>
            <w:r w:rsidRPr="004831AB">
              <w:rPr>
                <w:rFonts w:ascii="Times New Roman" w:eastAsia="Calibri" w:hAnsi="Times New Roman" w:cs="Times New Roman"/>
                <w:lang w:val="sr-Cyrl-CS"/>
              </w:rPr>
              <w:t>)</w:t>
            </w:r>
          </w:p>
        </w:tc>
        <w:tc>
          <w:tcPr>
            <w:tcW w:w="1668" w:type="dxa"/>
          </w:tcPr>
          <w:p w14:paraId="246C6971" w14:textId="77777777" w:rsidR="00302876" w:rsidRPr="004831AB" w:rsidRDefault="003A1D31"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27</w:t>
            </w:r>
            <w:r w:rsidR="00A561C7" w:rsidRPr="004831AB">
              <w:rPr>
                <w:rFonts w:ascii="Times New Roman" w:eastAsia="Calibri" w:hAnsi="Times New Roman" w:cs="Times New Roman"/>
                <w:lang w:val="sr-Cyrl-CS"/>
              </w:rPr>
              <w:t>% (2027)</w:t>
            </w:r>
          </w:p>
        </w:tc>
      </w:tr>
      <w:tr w:rsidR="00302876" w:rsidRPr="004831AB" w14:paraId="1376F66F" w14:textId="77777777" w:rsidTr="001F3BDC">
        <w:tc>
          <w:tcPr>
            <w:tcW w:w="1501" w:type="dxa"/>
          </w:tcPr>
          <w:p w14:paraId="59BE9C39" w14:textId="77777777" w:rsidR="00302876" w:rsidRPr="004831AB" w:rsidRDefault="00302876"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2.</w:t>
            </w:r>
          </w:p>
        </w:tc>
        <w:tc>
          <w:tcPr>
            <w:tcW w:w="2845" w:type="dxa"/>
          </w:tcPr>
          <w:p w14:paraId="007C26BB" w14:textId="2CA7D00C" w:rsidR="00302876" w:rsidRPr="004831AB" w:rsidRDefault="00313724"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Проценат </w:t>
            </w:r>
            <w:r w:rsidR="00302876" w:rsidRPr="004831AB">
              <w:rPr>
                <w:rFonts w:ascii="Times New Roman" w:eastAsia="Calibri" w:hAnsi="Times New Roman" w:cs="Times New Roman"/>
                <w:lang w:val="sr-Cyrl-CS"/>
              </w:rPr>
              <w:t xml:space="preserve">нових </w:t>
            </w:r>
            <w:r w:rsidR="003A1D31" w:rsidRPr="004831AB">
              <w:rPr>
                <w:rFonts w:ascii="Times New Roman" w:eastAsia="Calibri" w:hAnsi="Times New Roman" w:cs="Times New Roman"/>
                <w:lang w:val="sr-Cyrl-CS"/>
              </w:rPr>
              <w:t xml:space="preserve">кредита </w:t>
            </w:r>
            <w:r w:rsidR="00302876" w:rsidRPr="004831AB">
              <w:rPr>
                <w:rFonts w:ascii="Times New Roman" w:eastAsia="Calibri" w:hAnsi="Times New Roman" w:cs="Times New Roman"/>
                <w:lang w:val="sr-Cyrl-CS"/>
              </w:rPr>
              <w:t>ка МСПП</w:t>
            </w:r>
          </w:p>
        </w:tc>
        <w:tc>
          <w:tcPr>
            <w:tcW w:w="1668" w:type="dxa"/>
            <w:gridSpan w:val="2"/>
          </w:tcPr>
          <w:p w14:paraId="35E67640" w14:textId="77777777" w:rsidR="00302876" w:rsidRPr="004831AB"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ОЕЦД, „Финансирање МСПП</w:t>
            </w:r>
            <w:r w:rsidR="007E5D5C"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 xml:space="preserve"> (</w:t>
            </w:r>
            <w:r w:rsidRPr="004831AB">
              <w:rPr>
                <w:rFonts w:ascii="Times New Roman" w:eastAsia="Calibri" w:hAnsi="Times New Roman" w:cs="Times New Roman"/>
                <w:i/>
                <w:lang w:val="sr-Cyrl-CS"/>
              </w:rPr>
              <w:t>Financing SMEs and Entrepreneurs</w:t>
            </w:r>
            <w:r w:rsidRPr="004831AB">
              <w:rPr>
                <w:rFonts w:ascii="Times New Roman" w:eastAsia="Calibri" w:hAnsi="Times New Roman" w:cs="Times New Roman"/>
                <w:lang w:val="sr-Cyrl-CS"/>
              </w:rPr>
              <w:t>)</w:t>
            </w:r>
          </w:p>
        </w:tc>
        <w:tc>
          <w:tcPr>
            <w:tcW w:w="1668" w:type="dxa"/>
          </w:tcPr>
          <w:p w14:paraId="6553566E" w14:textId="77777777" w:rsidR="00302876" w:rsidRPr="004831AB" w:rsidRDefault="008E7593"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43,13% (</w:t>
            </w:r>
            <w:hyperlink r:id="rId22" w:history="1">
              <w:r w:rsidRPr="004831AB">
                <w:rPr>
                  <w:rStyle w:val="Hyperlink"/>
                  <w:rFonts w:ascii="Times New Roman" w:eastAsia="Calibri" w:hAnsi="Times New Roman" w:cs="Times New Roman"/>
                  <w:color w:val="auto"/>
                  <w:u w:val="none"/>
                  <w:lang w:val="sr-Cyrl-CS"/>
                </w:rPr>
                <w:t>2020</w:t>
              </w:r>
            </w:hyperlink>
            <w:r w:rsidRPr="004831AB">
              <w:rPr>
                <w:rFonts w:ascii="Times New Roman" w:eastAsia="Calibri" w:hAnsi="Times New Roman" w:cs="Times New Roman"/>
                <w:lang w:val="sr-Cyrl-CS"/>
              </w:rPr>
              <w:t>)</w:t>
            </w:r>
          </w:p>
        </w:tc>
        <w:tc>
          <w:tcPr>
            <w:tcW w:w="1668" w:type="dxa"/>
          </w:tcPr>
          <w:p w14:paraId="4927B5D1" w14:textId="77777777" w:rsidR="00302876" w:rsidRPr="004831AB" w:rsidRDefault="003A1D31"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47</w:t>
            </w:r>
            <w:r w:rsidR="00A561C7" w:rsidRPr="004831AB">
              <w:rPr>
                <w:rFonts w:ascii="Times New Roman" w:eastAsia="Calibri" w:hAnsi="Times New Roman" w:cs="Times New Roman"/>
                <w:lang w:val="sr-Cyrl-CS"/>
              </w:rPr>
              <w:t>% (2027)</w:t>
            </w:r>
          </w:p>
        </w:tc>
      </w:tr>
      <w:tr w:rsidR="00CE622E" w:rsidRPr="004831AB" w14:paraId="1F796596" w14:textId="77777777" w:rsidTr="00A86B67">
        <w:tc>
          <w:tcPr>
            <w:tcW w:w="1501" w:type="dxa"/>
          </w:tcPr>
          <w:p w14:paraId="55D8BC31"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49" w:type="dxa"/>
            <w:gridSpan w:val="5"/>
          </w:tcPr>
          <w:p w14:paraId="76B882A8" w14:textId="76E95FF1" w:rsidR="00CE622E" w:rsidRPr="004831AB" w:rsidRDefault="00CE622E">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Ова мера има за циљ унапређење конкурентности сектора МСПП кроз </w:t>
            </w:r>
            <w:r w:rsidR="00B17275" w:rsidRPr="004831AB">
              <w:rPr>
                <w:rFonts w:ascii="Times New Roman" w:eastAsia="Calibri" w:hAnsi="Times New Roman" w:cs="Times New Roman"/>
                <w:lang w:val="sr-Cyrl-CS"/>
              </w:rPr>
              <w:t xml:space="preserve">финансијску подршку и кроз реализацију различитих програма подршке и финансијских инструмената који ће допринети </w:t>
            </w:r>
            <w:r w:rsidR="00651EA7" w:rsidRPr="004831AB">
              <w:rPr>
                <w:rFonts w:ascii="Times New Roman" w:eastAsia="Calibri" w:hAnsi="Times New Roman" w:cs="Times New Roman"/>
                <w:lang w:val="sr-Cyrl-CS"/>
              </w:rPr>
              <w:t>повећању</w:t>
            </w:r>
            <w:r w:rsidR="00B17275" w:rsidRPr="004831AB">
              <w:rPr>
                <w:rFonts w:ascii="Times New Roman" w:eastAsia="Calibri" w:hAnsi="Times New Roman" w:cs="Times New Roman"/>
                <w:lang w:val="sr-Cyrl-CS"/>
              </w:rPr>
              <w:t xml:space="preserve"> </w:t>
            </w:r>
            <w:r w:rsidR="0034076A" w:rsidRPr="004831AB">
              <w:rPr>
                <w:rFonts w:ascii="Times New Roman" w:eastAsia="Calibri" w:hAnsi="Times New Roman" w:cs="Times New Roman"/>
                <w:lang w:val="sr-Cyrl-CS"/>
              </w:rPr>
              <w:t xml:space="preserve">инвестиција МСПП и </w:t>
            </w:r>
            <w:r w:rsidR="00651EA7" w:rsidRPr="004831AB">
              <w:rPr>
                <w:rFonts w:ascii="Times New Roman" w:eastAsia="Calibri" w:hAnsi="Times New Roman" w:cs="Times New Roman"/>
                <w:lang w:val="sr-Cyrl-CS"/>
              </w:rPr>
              <w:t xml:space="preserve">унапређењу </w:t>
            </w:r>
            <w:r w:rsidR="0034076A" w:rsidRPr="004831AB">
              <w:rPr>
                <w:rFonts w:ascii="Times New Roman" w:eastAsia="Calibri" w:hAnsi="Times New Roman" w:cs="Times New Roman"/>
                <w:lang w:val="sr-Cyrl-CS"/>
              </w:rPr>
              <w:t>њихове конкурентске позиције</w:t>
            </w:r>
            <w:r w:rsidR="00B17275" w:rsidRPr="004831AB">
              <w:rPr>
                <w:rFonts w:ascii="Times New Roman" w:eastAsia="Calibri" w:hAnsi="Times New Roman" w:cs="Times New Roman"/>
                <w:lang w:val="sr-Cyrl-CS"/>
              </w:rPr>
              <w:t xml:space="preserve">. </w:t>
            </w:r>
            <w:r w:rsidR="00992F2B" w:rsidRPr="004831AB">
              <w:rPr>
                <w:rFonts w:ascii="Times New Roman" w:eastAsia="Calibri" w:hAnsi="Times New Roman" w:cs="Times New Roman"/>
                <w:lang w:val="sr-Cyrl-CS"/>
              </w:rPr>
              <w:t xml:space="preserve"> Приступ финансирању је препознат као један од најзначајнијих ограничавајућих фактора за бржи развој сектора МСПП, те његов последични позитивни утицај на економски, друштвени и инклузивни развој. </w:t>
            </w:r>
            <w:r w:rsidR="00651EA7" w:rsidRPr="004831AB">
              <w:rPr>
                <w:rFonts w:ascii="Times New Roman" w:eastAsia="Calibri" w:hAnsi="Times New Roman" w:cs="Times New Roman"/>
                <w:lang w:val="sr-Cyrl-CS"/>
              </w:rPr>
              <w:t>Поред реализације више програма подршке МСПП и финансијских инструмената, о</w:t>
            </w:r>
            <w:r w:rsidR="00992F2B" w:rsidRPr="004831AB">
              <w:rPr>
                <w:rFonts w:ascii="Times New Roman" w:eastAsia="Calibri" w:hAnsi="Times New Roman" w:cs="Times New Roman"/>
                <w:lang w:val="sr-Cyrl-CS"/>
              </w:rPr>
              <w:t>вом мером обухваћен</w:t>
            </w:r>
            <w:r w:rsidR="00D46243" w:rsidRPr="004831AB">
              <w:rPr>
                <w:rFonts w:ascii="Times New Roman" w:eastAsia="Calibri" w:hAnsi="Times New Roman" w:cs="Times New Roman"/>
                <w:lang w:val="sr-Cyrl-CS"/>
              </w:rPr>
              <w:t>а</w:t>
            </w:r>
            <w:r w:rsidR="00992F2B" w:rsidRPr="004831AB">
              <w:rPr>
                <w:rFonts w:ascii="Times New Roman" w:eastAsia="Calibri" w:hAnsi="Times New Roman" w:cs="Times New Roman"/>
                <w:lang w:val="sr-Cyrl-CS"/>
              </w:rPr>
              <w:t xml:space="preserve"> је</w:t>
            </w:r>
            <w:r w:rsidR="00651EA7" w:rsidRPr="004831AB">
              <w:rPr>
                <w:rFonts w:ascii="Times New Roman" w:eastAsia="Calibri" w:hAnsi="Times New Roman" w:cs="Times New Roman"/>
                <w:lang w:val="sr-Cyrl-CS"/>
              </w:rPr>
              <w:t xml:space="preserve"> </w:t>
            </w:r>
            <w:r w:rsidR="00992F2B" w:rsidRPr="004831AB">
              <w:rPr>
                <w:rFonts w:ascii="Times New Roman" w:eastAsia="Calibri" w:hAnsi="Times New Roman" w:cs="Times New Roman"/>
                <w:lang w:val="sr-Cyrl-CS"/>
              </w:rPr>
              <w:t>и сарадњ</w:t>
            </w:r>
            <w:r w:rsidR="00651EA7" w:rsidRPr="004831AB">
              <w:rPr>
                <w:rFonts w:ascii="Times New Roman" w:eastAsia="Calibri" w:hAnsi="Times New Roman" w:cs="Times New Roman"/>
                <w:lang w:val="sr-Cyrl-CS"/>
              </w:rPr>
              <w:t>а</w:t>
            </w:r>
            <w:r w:rsidR="00992F2B" w:rsidRPr="004831AB">
              <w:rPr>
                <w:rFonts w:ascii="Times New Roman" w:eastAsia="Calibri" w:hAnsi="Times New Roman" w:cs="Times New Roman"/>
                <w:lang w:val="sr-Cyrl-CS"/>
              </w:rPr>
              <w:t xml:space="preserve"> са </w:t>
            </w:r>
            <w:r w:rsidR="00992F2B" w:rsidRPr="00D639D4">
              <w:rPr>
                <w:rFonts w:ascii="Times New Roman" w:eastAsia="Calibri" w:hAnsi="Times New Roman" w:cs="Times New Roman"/>
                <w:lang w:val="sr-Cyrl-CS"/>
              </w:rPr>
              <w:t>У</w:t>
            </w:r>
            <w:r w:rsidR="00992F2B" w:rsidRPr="004831AB">
              <w:rPr>
                <w:rFonts w:ascii="Times New Roman" w:eastAsia="Calibri" w:hAnsi="Times New Roman" w:cs="Times New Roman"/>
                <w:lang w:val="sr-Cyrl-CS"/>
              </w:rPr>
              <w:t xml:space="preserve">дружењем банака у вези са побољшањем приступа банкарским производима за МСПП. Такође, мером ће се радити и на унапређењу капацитета МСПП, кроз јачање њихове финансијске писмености, инвестиционе спремности и финансијског управљања. На крају, мера обухвата </w:t>
            </w:r>
            <w:r w:rsidR="00D46243" w:rsidRPr="004831AB">
              <w:rPr>
                <w:rFonts w:ascii="Times New Roman" w:eastAsia="Calibri" w:hAnsi="Times New Roman" w:cs="Times New Roman"/>
                <w:lang w:val="sr-Cyrl-CS"/>
              </w:rPr>
              <w:t xml:space="preserve">активности </w:t>
            </w:r>
            <w:r w:rsidR="00992F2B" w:rsidRPr="004831AB">
              <w:rPr>
                <w:rFonts w:ascii="Times New Roman" w:eastAsia="Calibri" w:hAnsi="Times New Roman" w:cs="Times New Roman"/>
                <w:lang w:val="sr-Cyrl-CS"/>
              </w:rPr>
              <w:t>на унапређењу оперативног пословања.</w:t>
            </w:r>
          </w:p>
        </w:tc>
      </w:tr>
      <w:tr w:rsidR="00CE622E" w:rsidRPr="004831AB" w14:paraId="585EA533" w14:textId="77777777" w:rsidTr="00A86B67">
        <w:tc>
          <w:tcPr>
            <w:tcW w:w="1501" w:type="dxa"/>
          </w:tcPr>
          <w:p w14:paraId="0F3AFD64"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849" w:type="dxa"/>
            <w:gridSpan w:val="5"/>
          </w:tcPr>
          <w:p w14:paraId="6517AD42" w14:textId="77777777" w:rsidR="00CE622E" w:rsidRPr="004831AB" w:rsidRDefault="00CE622E" w:rsidP="00D46243">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Реализацијом ове мере би се </w:t>
            </w:r>
            <w:r w:rsidR="00F36CDC" w:rsidRPr="004831AB">
              <w:rPr>
                <w:rFonts w:ascii="Times New Roman" w:eastAsia="Calibri" w:hAnsi="Times New Roman" w:cs="Times New Roman"/>
                <w:lang w:val="sr-Cyrl-CS"/>
              </w:rPr>
              <w:t>побољшао приступ</w:t>
            </w:r>
            <w:r w:rsidR="00D46243" w:rsidRPr="004831AB">
              <w:rPr>
                <w:rFonts w:ascii="Times New Roman" w:eastAsia="Calibri" w:hAnsi="Times New Roman" w:cs="Times New Roman"/>
                <w:lang w:val="sr-Cyrl-CS"/>
              </w:rPr>
              <w:t xml:space="preserve"> МСПП</w:t>
            </w:r>
            <w:r w:rsidR="00F36CDC" w:rsidRPr="004831AB">
              <w:rPr>
                <w:rFonts w:ascii="Times New Roman" w:eastAsia="Calibri" w:hAnsi="Times New Roman" w:cs="Times New Roman"/>
                <w:lang w:val="sr-Cyrl-CS"/>
              </w:rPr>
              <w:t xml:space="preserve"> финансијским инструментима за реализацију инвестиција  и </w:t>
            </w:r>
            <w:r w:rsidRPr="004831AB">
              <w:rPr>
                <w:rFonts w:ascii="Times New Roman" w:eastAsia="Calibri" w:hAnsi="Times New Roman" w:cs="Times New Roman"/>
                <w:lang w:val="sr-Cyrl-CS"/>
              </w:rPr>
              <w:t xml:space="preserve">ојачала конкурентска позиција сектора </w:t>
            </w:r>
            <w:r w:rsidR="00F710DD" w:rsidRPr="004831AB">
              <w:rPr>
                <w:rFonts w:ascii="Times New Roman" w:eastAsia="Calibri" w:hAnsi="Times New Roman" w:cs="Times New Roman"/>
                <w:lang w:val="sr-Cyrl-CS"/>
              </w:rPr>
              <w:t>МСПП</w:t>
            </w:r>
            <w:r w:rsidR="00F36CDC" w:rsidRPr="004831AB">
              <w:rPr>
                <w:rFonts w:ascii="Times New Roman" w:eastAsia="Calibri" w:hAnsi="Times New Roman" w:cs="Times New Roman"/>
                <w:lang w:val="sr-Cyrl-CS"/>
              </w:rPr>
              <w:t>.</w:t>
            </w:r>
            <w:r w:rsidR="00F710DD"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  </w:t>
            </w:r>
          </w:p>
        </w:tc>
      </w:tr>
    </w:tbl>
    <w:p w14:paraId="41F488C4" w14:textId="77777777" w:rsidR="00CE622E" w:rsidRPr="004831AB" w:rsidRDefault="00CE622E" w:rsidP="00CE622E">
      <w:pPr>
        <w:rPr>
          <w:rFonts w:ascii="Times New Roman" w:eastAsia="Calibri" w:hAnsi="Times New Roman" w:cs="Times New Roman"/>
          <w:lang w:val="sr-Cyrl-CS"/>
        </w:rPr>
      </w:pPr>
    </w:p>
    <w:p w14:paraId="5D2FAEFA" w14:textId="77777777" w:rsidR="00CE622E" w:rsidRPr="004831AB" w:rsidRDefault="00CE622E" w:rsidP="008B33EE">
      <w:pPr>
        <w:pStyle w:val="Heading3"/>
        <w:rPr>
          <w:rFonts w:eastAsia="Times New Roman"/>
          <w:bCs/>
          <w:lang w:val="sr-Cyrl-CS"/>
        </w:rPr>
      </w:pPr>
      <w:r w:rsidRPr="004831AB">
        <w:rPr>
          <w:rFonts w:eastAsia="Times New Roman"/>
          <w:bCs/>
          <w:lang w:val="sr-Cyrl-CS"/>
        </w:rPr>
        <w:t xml:space="preserve">Мера 3.3: </w:t>
      </w:r>
      <w:r w:rsidR="003A1D31" w:rsidRPr="004831AB">
        <w:rPr>
          <w:rFonts w:eastAsia="Times New Roman"/>
          <w:bCs/>
          <w:lang w:val="sr-Cyrl-CS"/>
        </w:rPr>
        <w:t>П</w:t>
      </w:r>
      <w:r w:rsidR="00F710DD" w:rsidRPr="004831AB">
        <w:rPr>
          <w:rFonts w:eastAsia="Times New Roman"/>
          <w:bCs/>
          <w:lang w:val="sr-Cyrl-CS"/>
        </w:rPr>
        <w:t>одршка МСПП за ширења на нова тржишта</w:t>
      </w:r>
    </w:p>
    <w:tbl>
      <w:tblPr>
        <w:tblStyle w:val="TableGrid"/>
        <w:tblW w:w="0" w:type="auto"/>
        <w:tblLook w:val="04A0" w:firstRow="1" w:lastRow="0" w:firstColumn="1" w:lastColumn="0" w:noHBand="0" w:noVBand="1"/>
      </w:tblPr>
      <w:tblGrid>
        <w:gridCol w:w="1547"/>
        <w:gridCol w:w="3243"/>
        <w:gridCol w:w="1520"/>
        <w:gridCol w:w="64"/>
        <w:gridCol w:w="1456"/>
        <w:gridCol w:w="1520"/>
      </w:tblGrid>
      <w:tr w:rsidR="003A1D31" w:rsidRPr="004831AB" w14:paraId="777EBCC8" w14:textId="77777777" w:rsidTr="001F3BDC">
        <w:tc>
          <w:tcPr>
            <w:tcW w:w="1547" w:type="dxa"/>
          </w:tcPr>
          <w:p w14:paraId="09589C9E" w14:textId="77777777" w:rsidR="003A1D31" w:rsidRPr="004831AB" w:rsidRDefault="003A1D31" w:rsidP="003A1D3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243" w:type="dxa"/>
          </w:tcPr>
          <w:p w14:paraId="277D0D2D"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584" w:type="dxa"/>
            <w:gridSpan w:val="2"/>
          </w:tcPr>
          <w:p w14:paraId="036F3E89"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2976" w:type="dxa"/>
            <w:gridSpan w:val="2"/>
          </w:tcPr>
          <w:p w14:paraId="5DBEB04F" w14:textId="77777777" w:rsidR="003A1D31" w:rsidRPr="004831AB" w:rsidRDefault="003A1D31" w:rsidP="003A1D3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302876" w:rsidRPr="004831AB" w14:paraId="6182A752" w14:textId="77777777" w:rsidTr="001F3BDC">
        <w:tc>
          <w:tcPr>
            <w:tcW w:w="1547" w:type="dxa"/>
          </w:tcPr>
          <w:p w14:paraId="541D4F0C"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243" w:type="dxa"/>
          </w:tcPr>
          <w:p w14:paraId="036E6C16"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520" w:type="dxa"/>
          </w:tcPr>
          <w:p w14:paraId="3E352A9C"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520" w:type="dxa"/>
            <w:gridSpan w:val="2"/>
          </w:tcPr>
          <w:p w14:paraId="18B0795E"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520" w:type="dxa"/>
          </w:tcPr>
          <w:p w14:paraId="452CC4B2" w14:textId="77777777" w:rsidR="00302876" w:rsidRPr="004831AB" w:rsidRDefault="00302876" w:rsidP="00302876">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302876" w:rsidRPr="004831AB" w:rsidDel="00F710DD" w14:paraId="08B13782" w14:textId="77777777" w:rsidTr="001F3BDC">
        <w:tc>
          <w:tcPr>
            <w:tcW w:w="1547" w:type="dxa"/>
          </w:tcPr>
          <w:p w14:paraId="6C59D9A4" w14:textId="77777777" w:rsidR="00302876" w:rsidRPr="004831AB" w:rsidDel="00F710DD" w:rsidRDefault="00302876"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243" w:type="dxa"/>
          </w:tcPr>
          <w:p w14:paraId="4DFF5526" w14:textId="77777777" w:rsidR="00302876" w:rsidRPr="004831AB" w:rsidDel="00F710DD"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Раст извоза МСПП (апсолутна вредност)</w:t>
            </w:r>
          </w:p>
        </w:tc>
        <w:tc>
          <w:tcPr>
            <w:tcW w:w="1520" w:type="dxa"/>
          </w:tcPr>
          <w:p w14:paraId="57727449" w14:textId="77777777" w:rsidR="00302876" w:rsidRPr="004831AB" w:rsidDel="00F710DD" w:rsidRDefault="00302876" w:rsidP="00CE622E">
            <w:pPr>
              <w:rPr>
                <w:rFonts w:ascii="Times New Roman" w:eastAsia="Calibri" w:hAnsi="Times New Roman" w:cs="Times New Roman"/>
                <w:lang w:val="sr-Cyrl-CS"/>
              </w:rPr>
            </w:pPr>
            <w:r w:rsidRPr="004831AB">
              <w:rPr>
                <w:rFonts w:ascii="Times New Roman" w:eastAsia="Calibri" w:hAnsi="Times New Roman" w:cs="Times New Roman"/>
                <w:lang w:val="sr-Cyrl-CS"/>
              </w:rPr>
              <w:t>Извештај о МСПП</w:t>
            </w:r>
          </w:p>
        </w:tc>
        <w:tc>
          <w:tcPr>
            <w:tcW w:w="1520" w:type="dxa"/>
            <w:gridSpan w:val="2"/>
          </w:tcPr>
          <w:p w14:paraId="5CE3FA6C" w14:textId="4DC20F14" w:rsidR="00302876" w:rsidRPr="004831AB" w:rsidDel="00F710DD" w:rsidRDefault="003A1D31" w:rsidP="00790731">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910.741 </w:t>
            </w:r>
            <w:r w:rsidR="00A561C7" w:rsidRPr="004831AB">
              <w:rPr>
                <w:rFonts w:ascii="Times New Roman" w:eastAsia="Calibri" w:hAnsi="Times New Roman" w:cs="Times New Roman"/>
                <w:lang w:val="sr-Cyrl-CS"/>
              </w:rPr>
              <w:t>м</w:t>
            </w:r>
            <w:r w:rsidR="00790731" w:rsidRPr="004831AB">
              <w:rPr>
                <w:rFonts w:ascii="Times New Roman" w:eastAsia="Calibri" w:hAnsi="Times New Roman" w:cs="Times New Roman"/>
                <w:lang w:val="sr-Cyrl-CS"/>
              </w:rPr>
              <w:t>и</w:t>
            </w:r>
            <w:r w:rsidR="00A561C7" w:rsidRPr="004831AB">
              <w:rPr>
                <w:rFonts w:ascii="Times New Roman" w:eastAsia="Calibri" w:hAnsi="Times New Roman" w:cs="Times New Roman"/>
                <w:lang w:val="sr-Cyrl-CS"/>
              </w:rPr>
              <w:t>л. дин. (</w:t>
            </w:r>
            <w:r w:rsidR="00A561C7" w:rsidRPr="004831AB">
              <w:rPr>
                <w:rFonts w:ascii="Times New Roman" w:hAnsi="Times New Roman" w:cs="Times New Roman"/>
                <w:lang w:val="sr-Cyrl-CS"/>
              </w:rPr>
              <w:t>202</w:t>
            </w:r>
            <w:r w:rsidR="00790731" w:rsidRPr="004831AB">
              <w:rPr>
                <w:rFonts w:ascii="Times New Roman" w:hAnsi="Times New Roman" w:cs="Times New Roman"/>
                <w:lang w:val="sr-Cyrl-CS"/>
              </w:rPr>
              <w:t>1</w:t>
            </w:r>
            <w:r w:rsidR="00A561C7" w:rsidRPr="004831AB">
              <w:rPr>
                <w:rFonts w:ascii="Times New Roman" w:eastAsia="Calibri" w:hAnsi="Times New Roman" w:cs="Times New Roman"/>
                <w:lang w:val="sr-Cyrl-CS"/>
              </w:rPr>
              <w:t>)</w:t>
            </w:r>
          </w:p>
        </w:tc>
        <w:tc>
          <w:tcPr>
            <w:tcW w:w="1520" w:type="dxa"/>
          </w:tcPr>
          <w:p w14:paraId="310ADC46" w14:textId="637865E1" w:rsidR="00302876" w:rsidRPr="004831AB" w:rsidDel="00F710DD" w:rsidRDefault="00C84D6A" w:rsidP="00C84D6A">
            <w:pPr>
              <w:rPr>
                <w:rFonts w:ascii="Times New Roman" w:eastAsia="Calibri" w:hAnsi="Times New Roman" w:cs="Times New Roman"/>
                <w:lang w:val="sr-Cyrl-CS"/>
              </w:rPr>
            </w:pPr>
            <w:r w:rsidRPr="004831AB">
              <w:rPr>
                <w:rFonts w:ascii="Times New Roman" w:eastAsia="Calibri" w:hAnsi="Times New Roman" w:cs="Times New Roman"/>
                <w:lang w:val="sr-Cyrl-CS"/>
              </w:rPr>
              <w:t>1.273.500</w:t>
            </w:r>
            <w:r w:rsidR="00A561C7" w:rsidRPr="004831AB">
              <w:rPr>
                <w:rFonts w:ascii="Times New Roman" w:eastAsia="Calibri" w:hAnsi="Times New Roman" w:cs="Times New Roman"/>
                <w:lang w:val="sr-Cyrl-CS"/>
              </w:rPr>
              <w:t xml:space="preserve"> м</w:t>
            </w:r>
            <w:r w:rsidRPr="004831AB">
              <w:rPr>
                <w:rFonts w:ascii="Times New Roman" w:eastAsia="Calibri" w:hAnsi="Times New Roman" w:cs="Times New Roman"/>
                <w:lang w:val="sr-Cyrl-CS"/>
              </w:rPr>
              <w:t>и</w:t>
            </w:r>
            <w:r w:rsidR="00A561C7" w:rsidRPr="004831AB">
              <w:rPr>
                <w:rFonts w:ascii="Times New Roman" w:eastAsia="Calibri" w:hAnsi="Times New Roman" w:cs="Times New Roman"/>
                <w:lang w:val="sr-Cyrl-CS"/>
              </w:rPr>
              <w:t>л. дин. (2027)</w:t>
            </w:r>
          </w:p>
        </w:tc>
      </w:tr>
      <w:tr w:rsidR="00302876" w:rsidRPr="004831AB" w14:paraId="6D303BC6" w14:textId="77777777" w:rsidTr="001F3BDC">
        <w:tc>
          <w:tcPr>
            <w:tcW w:w="1547" w:type="dxa"/>
          </w:tcPr>
          <w:p w14:paraId="11AB340C" w14:textId="77777777" w:rsidR="00302876" w:rsidRPr="004831AB" w:rsidRDefault="00302876" w:rsidP="0034076A">
            <w:pPr>
              <w:rPr>
                <w:rFonts w:ascii="Times New Roman" w:eastAsia="Calibri" w:hAnsi="Times New Roman" w:cs="Times New Roman"/>
                <w:bCs/>
                <w:lang w:val="sr-Cyrl-CS"/>
              </w:rPr>
            </w:pPr>
            <w:r w:rsidRPr="004831AB">
              <w:rPr>
                <w:rFonts w:ascii="Times New Roman" w:eastAsia="Calibri" w:hAnsi="Times New Roman" w:cs="Times New Roman"/>
                <w:bCs/>
                <w:lang w:val="sr-Cyrl-CS"/>
              </w:rPr>
              <w:t>2.</w:t>
            </w:r>
          </w:p>
        </w:tc>
        <w:tc>
          <w:tcPr>
            <w:tcW w:w="3243" w:type="dxa"/>
          </w:tcPr>
          <w:p w14:paraId="6FF85E37" w14:textId="77777777" w:rsidR="00302876" w:rsidRPr="004831AB" w:rsidRDefault="00302876" w:rsidP="0034076A">
            <w:pPr>
              <w:rPr>
                <w:rFonts w:ascii="Times New Roman" w:eastAsia="Calibri" w:hAnsi="Times New Roman" w:cs="Times New Roman"/>
                <w:lang w:val="sr-Cyrl-CS"/>
              </w:rPr>
            </w:pPr>
            <w:r w:rsidRPr="004831AB">
              <w:rPr>
                <w:rFonts w:ascii="Times New Roman" w:eastAsia="Calibri" w:hAnsi="Times New Roman" w:cs="Times New Roman"/>
                <w:lang w:val="sr-Cyrl-CS"/>
              </w:rPr>
              <w:t>Интернационализација МСПП</w:t>
            </w:r>
          </w:p>
        </w:tc>
        <w:tc>
          <w:tcPr>
            <w:tcW w:w="1520" w:type="dxa"/>
          </w:tcPr>
          <w:p w14:paraId="2643441E" w14:textId="77777777" w:rsidR="00302876" w:rsidRPr="004831AB" w:rsidRDefault="00302876" w:rsidP="0034076A">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Индекс политике МСПП, под-димензија </w:t>
            </w:r>
            <w:r w:rsidRPr="004831AB">
              <w:rPr>
                <w:rFonts w:ascii="Times New Roman" w:eastAsia="Calibri" w:hAnsi="Times New Roman" w:cs="Times New Roman"/>
                <w:lang w:val="sr-Cyrl-CS"/>
              </w:rPr>
              <w:lastRenderedPageBreak/>
              <w:t>10.1 Промоција извоза</w:t>
            </w:r>
          </w:p>
        </w:tc>
        <w:tc>
          <w:tcPr>
            <w:tcW w:w="1520" w:type="dxa"/>
            <w:gridSpan w:val="2"/>
          </w:tcPr>
          <w:p w14:paraId="7D98E82B" w14:textId="77777777" w:rsidR="00302876" w:rsidRPr="004831AB" w:rsidRDefault="003A1D31" w:rsidP="0034076A">
            <w:pPr>
              <w:rPr>
                <w:rFonts w:ascii="Times New Roman" w:eastAsia="Calibri" w:hAnsi="Times New Roman" w:cs="Times New Roman"/>
                <w:lang w:val="sr-Cyrl-CS"/>
              </w:rPr>
            </w:pPr>
            <w:r w:rsidRPr="004831AB">
              <w:rPr>
                <w:rFonts w:ascii="Times New Roman" w:eastAsia="Calibri" w:hAnsi="Times New Roman" w:cs="Times New Roman"/>
                <w:lang w:val="sr-Cyrl-CS"/>
              </w:rPr>
              <w:lastRenderedPageBreak/>
              <w:t>4,31</w:t>
            </w:r>
            <w:r w:rsidR="00291F40" w:rsidRPr="004831AB">
              <w:rPr>
                <w:rFonts w:ascii="Times New Roman" w:eastAsia="Calibri" w:hAnsi="Times New Roman" w:cs="Times New Roman"/>
                <w:lang w:val="sr-Cyrl-CS"/>
              </w:rPr>
              <w:t xml:space="preserve"> (</w:t>
            </w:r>
            <w:hyperlink r:id="rId23" w:history="1">
              <w:r w:rsidR="00291F40" w:rsidRPr="004831AB">
                <w:rPr>
                  <w:rStyle w:val="Hyperlink"/>
                  <w:rFonts w:ascii="Times New Roman" w:eastAsia="Calibri" w:hAnsi="Times New Roman" w:cs="Times New Roman"/>
                  <w:color w:val="auto"/>
                  <w:u w:val="none"/>
                  <w:lang w:val="sr-Cyrl-CS"/>
                </w:rPr>
                <w:t>202</w:t>
              </w:r>
            </w:hyperlink>
            <w:r w:rsidRPr="004831AB">
              <w:rPr>
                <w:rFonts w:ascii="Times New Roman" w:eastAsia="Calibri" w:hAnsi="Times New Roman" w:cs="Times New Roman"/>
                <w:lang w:val="sr-Cyrl-CS"/>
              </w:rPr>
              <w:t>2</w:t>
            </w:r>
            <w:r w:rsidR="00291F40" w:rsidRPr="004831AB">
              <w:rPr>
                <w:rFonts w:ascii="Times New Roman" w:eastAsia="Calibri" w:hAnsi="Times New Roman" w:cs="Times New Roman"/>
                <w:lang w:val="sr-Cyrl-CS"/>
              </w:rPr>
              <w:t>)</w:t>
            </w:r>
          </w:p>
        </w:tc>
        <w:tc>
          <w:tcPr>
            <w:tcW w:w="1520" w:type="dxa"/>
          </w:tcPr>
          <w:p w14:paraId="6E0FBF71" w14:textId="77777777" w:rsidR="00302876" w:rsidRPr="004831AB" w:rsidRDefault="003A1D31" w:rsidP="0034076A">
            <w:pPr>
              <w:rPr>
                <w:rFonts w:ascii="Times New Roman" w:eastAsia="Calibri" w:hAnsi="Times New Roman" w:cs="Times New Roman"/>
                <w:lang w:val="sr-Cyrl-CS"/>
              </w:rPr>
            </w:pPr>
            <w:r w:rsidRPr="004831AB">
              <w:rPr>
                <w:rFonts w:ascii="Times New Roman" w:eastAsia="Calibri" w:hAnsi="Times New Roman" w:cs="Times New Roman"/>
                <w:lang w:val="sr-Cyrl-CS"/>
              </w:rPr>
              <w:t>4,5</w:t>
            </w:r>
            <w:r w:rsidR="00291F40" w:rsidRPr="004831AB">
              <w:rPr>
                <w:rFonts w:ascii="Times New Roman" w:eastAsia="Calibri" w:hAnsi="Times New Roman" w:cs="Times New Roman"/>
                <w:lang w:val="sr-Cyrl-CS"/>
              </w:rPr>
              <w:t xml:space="preserve"> (2027)</w:t>
            </w:r>
          </w:p>
        </w:tc>
      </w:tr>
      <w:tr w:rsidR="00CE622E" w:rsidRPr="004831AB" w14:paraId="20CFEBE1" w14:textId="77777777" w:rsidTr="00CF513E">
        <w:tc>
          <w:tcPr>
            <w:tcW w:w="1547" w:type="dxa"/>
          </w:tcPr>
          <w:p w14:paraId="6E720028"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03" w:type="dxa"/>
            <w:gridSpan w:val="5"/>
          </w:tcPr>
          <w:p w14:paraId="267CE7A8" w14:textId="4FE5A808" w:rsidR="00721111" w:rsidRPr="004831AB" w:rsidRDefault="00CE622E" w:rsidP="00790731">
            <w:pPr>
              <w:spacing w:after="160" w:line="259" w:lineRule="auto"/>
              <w:jc w:val="both"/>
              <w:rPr>
                <w:rFonts w:ascii="Times New Roman" w:hAnsi="Times New Roman" w:cs="Times New Roman"/>
                <w:lang w:val="sr-Cyrl-CS"/>
              </w:rPr>
            </w:pPr>
            <w:r w:rsidRPr="004831AB">
              <w:rPr>
                <w:rFonts w:ascii="Times New Roman" w:eastAsia="Calibri" w:hAnsi="Times New Roman" w:cs="Times New Roman"/>
                <w:lang w:val="sr-Cyrl-CS"/>
              </w:rPr>
              <w:t xml:space="preserve">Ова мера за циљ има </w:t>
            </w:r>
            <w:r w:rsidR="00651EA7" w:rsidRPr="004831AB">
              <w:rPr>
                <w:rFonts w:ascii="Times New Roman" w:eastAsia="Calibri" w:hAnsi="Times New Roman" w:cs="Times New Roman"/>
                <w:lang w:val="sr-Cyrl-CS"/>
              </w:rPr>
              <w:t>јачање</w:t>
            </w:r>
            <w:r w:rsidRPr="004831AB">
              <w:rPr>
                <w:rFonts w:ascii="Times New Roman" w:eastAsia="Calibri" w:hAnsi="Times New Roman" w:cs="Times New Roman"/>
                <w:lang w:val="sr-Cyrl-CS"/>
              </w:rPr>
              <w:t xml:space="preserve"> капацитета сектора МСПП за </w:t>
            </w:r>
            <w:r w:rsidR="00651EA7" w:rsidRPr="004831AB">
              <w:rPr>
                <w:rFonts w:ascii="Times New Roman" w:eastAsia="Calibri" w:hAnsi="Times New Roman" w:cs="Times New Roman"/>
                <w:lang w:val="sr-Cyrl-CS"/>
              </w:rPr>
              <w:t>наступ на међународним тржиштима. Иако ће фокус мере бити на финансијској подршци МСПП, нефинансијска помоћ и промоција ће,</w:t>
            </w:r>
            <w:r w:rsidR="00BD211B" w:rsidRPr="004831AB">
              <w:rPr>
                <w:rFonts w:ascii="Times New Roman" w:eastAsia="Calibri" w:hAnsi="Times New Roman" w:cs="Times New Roman"/>
                <w:lang w:val="sr-Cyrl-CS"/>
              </w:rPr>
              <w:t xml:space="preserve"> кроз стручну подршку, едукације и обуке</w:t>
            </w:r>
            <w:r w:rsidR="00A572C6" w:rsidRPr="004831AB">
              <w:rPr>
                <w:rFonts w:ascii="Times New Roman" w:eastAsia="Calibri" w:hAnsi="Times New Roman" w:cs="Times New Roman"/>
                <w:lang w:val="sr-Cyrl-CS"/>
              </w:rPr>
              <w:t>, као и подршку за наступ на сајмовима</w:t>
            </w:r>
            <w:r w:rsidR="00651EA7" w:rsidRPr="004831AB">
              <w:rPr>
                <w:rFonts w:ascii="Times New Roman" w:eastAsia="Calibri" w:hAnsi="Times New Roman" w:cs="Times New Roman"/>
                <w:lang w:val="sr-Cyrl-CS"/>
              </w:rPr>
              <w:t xml:space="preserve"> </w:t>
            </w:r>
            <w:r w:rsidR="00651EA7" w:rsidRPr="004831AB">
              <w:rPr>
                <w:rFonts w:ascii="Times New Roman" w:eastAsia="Calibri" w:hAnsi="Times New Roman" w:cs="Times New Roman"/>
                <w:b/>
                <w:bCs/>
                <w:lang w:val="sr-Cyrl-CS"/>
              </w:rPr>
              <w:t>д</w:t>
            </w:r>
            <w:r w:rsidR="00651EA7" w:rsidRPr="004831AB">
              <w:rPr>
                <w:rFonts w:ascii="Times New Roman" w:eastAsia="Calibri" w:hAnsi="Times New Roman" w:cs="Times New Roman"/>
                <w:bCs/>
                <w:lang w:val="sr-Cyrl-CS"/>
              </w:rPr>
              <w:t>опуњавати</w:t>
            </w:r>
            <w:r w:rsidR="00651EA7" w:rsidRPr="004831AB">
              <w:rPr>
                <w:rFonts w:ascii="Times New Roman" w:eastAsia="Calibri" w:hAnsi="Times New Roman" w:cs="Times New Roman"/>
                <w:lang w:val="sr-Cyrl-CS"/>
              </w:rPr>
              <w:t xml:space="preserve"> подстицајну природу ове мере</w:t>
            </w:r>
            <w:r w:rsidRPr="004831AB">
              <w:rPr>
                <w:rFonts w:ascii="Times New Roman" w:eastAsia="Calibri" w:hAnsi="Times New Roman" w:cs="Times New Roman"/>
                <w:lang w:val="sr-Cyrl-CS"/>
              </w:rPr>
              <w:t xml:space="preserve">. </w:t>
            </w:r>
            <w:r w:rsidR="00651EA7" w:rsidRPr="004831AB">
              <w:rPr>
                <w:rFonts w:ascii="Times New Roman" w:eastAsia="Calibri" w:hAnsi="Times New Roman" w:cs="Times New Roman"/>
                <w:lang w:val="sr-Cyrl-CS"/>
              </w:rPr>
              <w:t xml:space="preserve">Финансијска подршка интернационализацији МСПП биће реализована кроз програме РАС, </w:t>
            </w:r>
            <w:r w:rsidR="00415FDE" w:rsidRPr="004831AB">
              <w:rPr>
                <w:rFonts w:ascii="Times New Roman" w:eastAsia="Calibri" w:hAnsi="Times New Roman" w:cs="Times New Roman"/>
                <w:lang w:val="sr-Cyrl-CS"/>
              </w:rPr>
              <w:t xml:space="preserve">обухвата и промоцију услуга и подршке АОФИ за сектор МСПП, као и суфинансирање набавке стандарда и сертификата који омогућавају побољшање конкурентности и квалитета производа. </w:t>
            </w:r>
            <w:r w:rsidR="00BD211B" w:rsidRPr="004831AB">
              <w:rPr>
                <w:rFonts w:ascii="Times New Roman" w:eastAsia="Calibri" w:hAnsi="Times New Roman" w:cs="Times New Roman"/>
                <w:lang w:val="sr-Cyrl-CS"/>
              </w:rPr>
              <w:t xml:space="preserve">Стручна подршка МСПП ће бити пружена кроз различите програме које ће реализовати националне развојне институције и ПКС. Значајну улогу имаће и </w:t>
            </w:r>
            <w:r w:rsidR="00E54606" w:rsidRPr="004831AB">
              <w:rPr>
                <w:rFonts w:ascii="Times New Roman" w:eastAsia="Calibri" w:hAnsi="Times New Roman" w:cs="Times New Roman"/>
                <w:lang w:val="sr-Cyrl-CS"/>
              </w:rPr>
              <w:t xml:space="preserve">АРРА </w:t>
            </w:r>
            <w:r w:rsidR="00BD211B" w:rsidRPr="004831AB">
              <w:rPr>
                <w:rFonts w:ascii="Times New Roman" w:eastAsia="Calibri" w:hAnsi="Times New Roman" w:cs="Times New Roman"/>
                <w:lang w:val="sr-Cyrl-CS"/>
              </w:rPr>
              <w:t>које ће реализовати различите обуке које имају за циљ припрему МСПП за</w:t>
            </w:r>
            <w:r w:rsidR="00F36CDC" w:rsidRPr="004831AB">
              <w:rPr>
                <w:rFonts w:ascii="Times New Roman" w:eastAsia="Calibri" w:hAnsi="Times New Roman" w:cs="Times New Roman"/>
                <w:lang w:val="sr-Cyrl-CS"/>
              </w:rPr>
              <w:t xml:space="preserve"> први</w:t>
            </w:r>
            <w:r w:rsidR="00BD211B" w:rsidRPr="004831AB">
              <w:rPr>
                <w:rFonts w:ascii="Times New Roman" w:eastAsia="Calibri" w:hAnsi="Times New Roman" w:cs="Times New Roman"/>
                <w:lang w:val="sr-Cyrl-CS"/>
              </w:rPr>
              <w:t xml:space="preserve"> излазак на нова тржишта</w:t>
            </w:r>
            <w:r w:rsidR="00F36CDC" w:rsidRPr="004831AB">
              <w:rPr>
                <w:rFonts w:ascii="Times New Roman" w:eastAsia="Calibri" w:hAnsi="Times New Roman" w:cs="Times New Roman"/>
                <w:lang w:val="sr-Cyrl-CS"/>
              </w:rPr>
              <w:t>.</w:t>
            </w:r>
            <w:r w:rsidR="00CC0571" w:rsidRPr="004831AB">
              <w:rPr>
                <w:rFonts w:ascii="Times New Roman" w:eastAsia="Calibri" w:hAnsi="Times New Roman" w:cs="Times New Roman"/>
                <w:lang w:val="sr-Cyrl-CS"/>
              </w:rPr>
              <w:t xml:space="preserve"> </w:t>
            </w:r>
            <w:r w:rsidR="00BD211B" w:rsidRPr="004831AB">
              <w:rPr>
                <w:rFonts w:ascii="Times New Roman" w:eastAsia="Calibri" w:hAnsi="Times New Roman" w:cs="Times New Roman"/>
                <w:lang w:val="sr-Cyrl-CS"/>
              </w:rPr>
              <w:t>Поред тога, кроз унапређење функционалности портала „Предузетништво</w:t>
            </w:r>
            <w:r w:rsidR="00A01244" w:rsidRPr="004831AB">
              <w:rPr>
                <w:rFonts w:ascii="Times New Roman" w:eastAsia="Calibri" w:hAnsi="Times New Roman" w:cs="Times New Roman"/>
                <w:lang w:val="sr-Cyrl-CS"/>
              </w:rPr>
              <w:t>”</w:t>
            </w:r>
            <w:r w:rsidR="00A572C6" w:rsidRPr="004831AB">
              <w:rPr>
                <w:rFonts w:ascii="Times New Roman" w:eastAsia="Calibri" w:hAnsi="Times New Roman" w:cs="Times New Roman"/>
                <w:lang w:val="sr-Cyrl-CS"/>
              </w:rPr>
              <w:t xml:space="preserve"> </w:t>
            </w:r>
            <w:r w:rsidR="00BD211B" w:rsidRPr="004831AB">
              <w:rPr>
                <w:rFonts w:ascii="Times New Roman" w:eastAsia="Calibri" w:hAnsi="Times New Roman" w:cs="Times New Roman"/>
                <w:lang w:val="sr-Cyrl-CS"/>
              </w:rPr>
              <w:t xml:space="preserve">биће побољшан приступ МСПП информацијама од значаја </w:t>
            </w:r>
            <w:r w:rsidR="00F36CDC" w:rsidRPr="004831AB">
              <w:rPr>
                <w:rFonts w:ascii="Times New Roman" w:eastAsia="Calibri" w:hAnsi="Times New Roman" w:cs="Times New Roman"/>
                <w:lang w:val="sr-Cyrl-CS"/>
              </w:rPr>
              <w:t xml:space="preserve">за </w:t>
            </w:r>
            <w:r w:rsidR="00BD211B" w:rsidRPr="004831AB">
              <w:rPr>
                <w:rFonts w:ascii="Times New Roman" w:eastAsia="Calibri" w:hAnsi="Times New Roman" w:cs="Times New Roman"/>
                <w:lang w:val="sr-Cyrl-CS"/>
              </w:rPr>
              <w:t>наступ на страним тржиштима и захтевим</w:t>
            </w:r>
            <w:r w:rsidR="002071FD" w:rsidRPr="004831AB">
              <w:rPr>
                <w:rFonts w:ascii="Times New Roman" w:eastAsia="Calibri" w:hAnsi="Times New Roman" w:cs="Times New Roman"/>
                <w:lang w:val="sr-Cyrl-CS"/>
              </w:rPr>
              <w:t>а</w:t>
            </w:r>
            <w:r w:rsidR="00BD211B" w:rsidRPr="004831AB">
              <w:rPr>
                <w:rFonts w:ascii="Times New Roman" w:eastAsia="Calibri" w:hAnsi="Times New Roman" w:cs="Times New Roman"/>
                <w:lang w:val="sr-Cyrl-CS"/>
              </w:rPr>
              <w:t xml:space="preserve"> тих тржишта. </w:t>
            </w:r>
          </w:p>
        </w:tc>
      </w:tr>
      <w:tr w:rsidR="00CE622E" w:rsidRPr="004831AB" w14:paraId="36271CBC" w14:textId="77777777" w:rsidTr="00CF513E">
        <w:tc>
          <w:tcPr>
            <w:tcW w:w="1547" w:type="dxa"/>
          </w:tcPr>
          <w:p w14:paraId="6398D407"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803" w:type="dxa"/>
            <w:gridSpan w:val="5"/>
          </w:tcPr>
          <w:p w14:paraId="790B00B5" w14:textId="77777777" w:rsidR="00CE622E" w:rsidRPr="004831AB" w:rsidRDefault="00BD211B" w:rsidP="00237903">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Реализација ове мере допринеће унапређењу извоза сектора МСПП</w:t>
            </w:r>
            <w:r w:rsidR="006A1862"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 xml:space="preserve"> како порасту обима, тако и структуре извоза.</w:t>
            </w:r>
            <w:r w:rsidR="00CE622E" w:rsidRPr="004831AB">
              <w:rPr>
                <w:rFonts w:ascii="Times New Roman" w:eastAsia="Calibri" w:hAnsi="Times New Roman" w:cs="Times New Roman"/>
                <w:lang w:val="sr-Cyrl-CS"/>
              </w:rPr>
              <w:t xml:space="preserve"> Раст извоза има консекветне ефекте на читаву националну економију и привредног раста и националног дохотка и смањивања незапослености. </w:t>
            </w:r>
          </w:p>
        </w:tc>
      </w:tr>
    </w:tbl>
    <w:p w14:paraId="1586313D" w14:textId="77777777" w:rsidR="00CE622E" w:rsidRPr="004831AB" w:rsidRDefault="00CE622E" w:rsidP="00CE622E">
      <w:pPr>
        <w:rPr>
          <w:rFonts w:ascii="Times New Roman" w:eastAsia="Calibri" w:hAnsi="Times New Roman" w:cs="Times New Roman"/>
          <w:lang w:val="sr-Cyrl-CS"/>
        </w:rPr>
      </w:pPr>
    </w:p>
    <w:p w14:paraId="581BBBF0" w14:textId="77777777" w:rsidR="00CE622E" w:rsidRPr="004831AB" w:rsidRDefault="00CE622E" w:rsidP="00583149">
      <w:pPr>
        <w:pStyle w:val="Heading3"/>
        <w:rPr>
          <w:rFonts w:eastAsia="Times New Roman"/>
          <w:bCs/>
          <w:lang w:val="sr-Cyrl-CS"/>
        </w:rPr>
      </w:pPr>
      <w:r w:rsidRPr="004831AB">
        <w:rPr>
          <w:rFonts w:eastAsia="Times New Roman"/>
          <w:bCs/>
          <w:lang w:val="sr-Cyrl-CS"/>
        </w:rPr>
        <w:t xml:space="preserve">Мера 3.4: </w:t>
      </w:r>
      <w:r w:rsidR="002E4F26" w:rsidRPr="004831AB">
        <w:rPr>
          <w:rFonts w:eastAsia="Times New Roman"/>
          <w:bCs/>
          <w:lang w:val="sr-Cyrl-CS"/>
        </w:rPr>
        <w:t>Промовисање пословног повезивања</w:t>
      </w:r>
      <w:r w:rsidR="00B1625B" w:rsidRPr="004831AB">
        <w:rPr>
          <w:rFonts w:eastAsia="Times New Roman"/>
          <w:bCs/>
          <w:lang w:val="sr-Cyrl-CS"/>
        </w:rPr>
        <w:t xml:space="preserve"> </w:t>
      </w:r>
      <w:r w:rsidR="006F5A51" w:rsidRPr="004831AB">
        <w:rPr>
          <w:rFonts w:eastAsia="Times New Roman"/>
          <w:bCs/>
          <w:lang w:val="sr-Cyrl-CS"/>
        </w:rPr>
        <w:t>МСПП</w:t>
      </w:r>
    </w:p>
    <w:tbl>
      <w:tblPr>
        <w:tblStyle w:val="TableGrid"/>
        <w:tblW w:w="0" w:type="auto"/>
        <w:tblLook w:val="04A0" w:firstRow="1" w:lastRow="0" w:firstColumn="1" w:lastColumn="0" w:noHBand="0" w:noVBand="1"/>
      </w:tblPr>
      <w:tblGrid>
        <w:gridCol w:w="1555"/>
        <w:gridCol w:w="3402"/>
        <w:gridCol w:w="1464"/>
        <w:gridCol w:w="1464"/>
        <w:gridCol w:w="1465"/>
      </w:tblGrid>
      <w:tr w:rsidR="002566A1" w:rsidRPr="004831AB" w14:paraId="79E05BF5" w14:textId="77777777" w:rsidTr="001F3BDC">
        <w:tc>
          <w:tcPr>
            <w:tcW w:w="1555" w:type="dxa"/>
          </w:tcPr>
          <w:p w14:paraId="3B05CAAB" w14:textId="77777777" w:rsidR="002566A1" w:rsidRPr="004831AB" w:rsidRDefault="002566A1" w:rsidP="002566A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3402" w:type="dxa"/>
          </w:tcPr>
          <w:p w14:paraId="683CCBD9"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464" w:type="dxa"/>
          </w:tcPr>
          <w:p w14:paraId="7F6539D7"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2929" w:type="dxa"/>
            <w:gridSpan w:val="2"/>
          </w:tcPr>
          <w:p w14:paraId="6968F087"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1D2F80" w:rsidRPr="004831AB" w14:paraId="4E5440A0" w14:textId="77777777" w:rsidTr="001F3BDC">
        <w:tc>
          <w:tcPr>
            <w:tcW w:w="1555" w:type="dxa"/>
          </w:tcPr>
          <w:p w14:paraId="2F34BBF1"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402" w:type="dxa"/>
          </w:tcPr>
          <w:p w14:paraId="151AE2CC"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464" w:type="dxa"/>
          </w:tcPr>
          <w:p w14:paraId="437B6235"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464" w:type="dxa"/>
          </w:tcPr>
          <w:p w14:paraId="6F736AA3"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465" w:type="dxa"/>
          </w:tcPr>
          <w:p w14:paraId="39CED1D2"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1D2F80" w:rsidRPr="004831AB" w14:paraId="7B1C058E" w14:textId="77777777" w:rsidTr="001F3BDC">
        <w:tc>
          <w:tcPr>
            <w:tcW w:w="1555" w:type="dxa"/>
          </w:tcPr>
          <w:p w14:paraId="11402414" w14:textId="77777777" w:rsidR="001D2F80" w:rsidRPr="004831AB" w:rsidRDefault="001D2F80" w:rsidP="00D0635A">
            <w:pPr>
              <w:rPr>
                <w:rFonts w:ascii="Times New Roman" w:eastAsia="Calibri" w:hAnsi="Times New Roman" w:cs="Times New Roman"/>
                <w:bCs/>
                <w:lang w:val="sr-Cyrl-CS"/>
              </w:rPr>
            </w:pPr>
            <w:r w:rsidRPr="004831AB">
              <w:rPr>
                <w:rFonts w:ascii="Times New Roman" w:eastAsia="Calibri" w:hAnsi="Times New Roman" w:cs="Times New Roman"/>
                <w:bCs/>
                <w:lang w:val="sr-Cyrl-CS"/>
              </w:rPr>
              <w:t xml:space="preserve">1 </w:t>
            </w:r>
          </w:p>
        </w:tc>
        <w:tc>
          <w:tcPr>
            <w:tcW w:w="3402" w:type="dxa"/>
          </w:tcPr>
          <w:p w14:paraId="64B4C098" w14:textId="77777777" w:rsidR="001D2F80" w:rsidRPr="004831AB" w:rsidRDefault="001D2F80" w:rsidP="0060281A">
            <w:pPr>
              <w:rPr>
                <w:rFonts w:ascii="Times New Roman" w:eastAsia="Calibri" w:hAnsi="Times New Roman" w:cs="Times New Roman"/>
                <w:lang w:val="sr-Cyrl-CS"/>
              </w:rPr>
            </w:pPr>
            <w:r w:rsidRPr="004831AB">
              <w:rPr>
                <w:rFonts w:ascii="Times New Roman" w:eastAsia="Calibri" w:hAnsi="Times New Roman" w:cs="Times New Roman"/>
                <w:lang w:val="sr-Cyrl-CS"/>
              </w:rPr>
              <w:t>Интеграција МСПП у глобалне ланце добављача</w:t>
            </w:r>
          </w:p>
        </w:tc>
        <w:tc>
          <w:tcPr>
            <w:tcW w:w="1464" w:type="dxa"/>
          </w:tcPr>
          <w:p w14:paraId="054D834E" w14:textId="77777777" w:rsidR="001D2F80" w:rsidRPr="004831AB" w:rsidRDefault="001D2F80" w:rsidP="0060281A">
            <w:pPr>
              <w:rPr>
                <w:rFonts w:ascii="Times New Roman" w:eastAsia="Calibri" w:hAnsi="Times New Roman" w:cs="Times New Roman"/>
                <w:lang w:val="sr-Cyrl-CS"/>
              </w:rPr>
            </w:pPr>
            <w:r w:rsidRPr="004831AB">
              <w:rPr>
                <w:rFonts w:ascii="Times New Roman" w:eastAsia="Calibri" w:hAnsi="Times New Roman" w:cs="Times New Roman"/>
                <w:lang w:val="sr-Cyrl-CS"/>
              </w:rPr>
              <w:t>Индекс политике МСПП, под-димензија 10.2</w:t>
            </w:r>
          </w:p>
        </w:tc>
        <w:tc>
          <w:tcPr>
            <w:tcW w:w="1464" w:type="dxa"/>
          </w:tcPr>
          <w:p w14:paraId="09B2F306" w14:textId="77777777" w:rsidR="001D2F80" w:rsidRPr="004831AB" w:rsidRDefault="00291F40" w:rsidP="0060281A">
            <w:pPr>
              <w:rPr>
                <w:rFonts w:ascii="Times New Roman" w:eastAsia="Calibri" w:hAnsi="Times New Roman" w:cs="Times New Roman"/>
                <w:lang w:val="sr-Cyrl-CS"/>
              </w:rPr>
            </w:pPr>
            <w:r w:rsidRPr="004831AB">
              <w:rPr>
                <w:rFonts w:ascii="Times New Roman" w:eastAsia="Calibri" w:hAnsi="Times New Roman" w:cs="Times New Roman"/>
                <w:lang w:val="sr-Cyrl-CS"/>
              </w:rPr>
              <w:t>3,9</w:t>
            </w:r>
            <w:r w:rsidR="003A1D31" w:rsidRPr="004831AB">
              <w:rPr>
                <w:rFonts w:ascii="Times New Roman" w:eastAsia="Calibri" w:hAnsi="Times New Roman" w:cs="Times New Roman"/>
                <w:lang w:val="sr-Cyrl-CS"/>
              </w:rPr>
              <w:t>5</w:t>
            </w:r>
            <w:r w:rsidRPr="004831AB">
              <w:rPr>
                <w:rFonts w:ascii="Times New Roman" w:eastAsia="Calibri" w:hAnsi="Times New Roman" w:cs="Times New Roman"/>
                <w:lang w:val="sr-Cyrl-CS"/>
              </w:rPr>
              <w:t xml:space="preserve"> (</w:t>
            </w:r>
            <w:r w:rsidRPr="004831AB">
              <w:rPr>
                <w:rFonts w:ascii="Times New Roman" w:hAnsi="Times New Roman" w:cs="Times New Roman"/>
                <w:lang w:val="sr-Cyrl-CS"/>
              </w:rPr>
              <w:t>202</w:t>
            </w:r>
            <w:r w:rsidR="003A1D31" w:rsidRPr="004831AB">
              <w:rPr>
                <w:rFonts w:ascii="Times New Roman" w:eastAsia="Calibri" w:hAnsi="Times New Roman" w:cs="Times New Roman"/>
                <w:lang w:val="sr-Cyrl-CS"/>
              </w:rPr>
              <w:t>2</w:t>
            </w:r>
            <w:r w:rsidRPr="004831AB">
              <w:rPr>
                <w:rFonts w:ascii="Times New Roman" w:eastAsia="Calibri" w:hAnsi="Times New Roman" w:cs="Times New Roman"/>
                <w:lang w:val="sr-Cyrl-CS"/>
              </w:rPr>
              <w:t>)</w:t>
            </w:r>
          </w:p>
        </w:tc>
        <w:tc>
          <w:tcPr>
            <w:tcW w:w="1465" w:type="dxa"/>
          </w:tcPr>
          <w:p w14:paraId="3121DCAF" w14:textId="77777777" w:rsidR="001D2F80" w:rsidRPr="004831AB" w:rsidRDefault="00291F40" w:rsidP="0060281A">
            <w:pPr>
              <w:rPr>
                <w:rFonts w:ascii="Times New Roman" w:eastAsia="Calibri" w:hAnsi="Times New Roman" w:cs="Times New Roman"/>
                <w:lang w:val="sr-Cyrl-CS"/>
              </w:rPr>
            </w:pPr>
            <w:r w:rsidRPr="004831AB">
              <w:rPr>
                <w:rFonts w:ascii="Times New Roman" w:eastAsia="Calibri" w:hAnsi="Times New Roman" w:cs="Times New Roman"/>
                <w:lang w:val="sr-Cyrl-CS"/>
              </w:rPr>
              <w:t>4,</w:t>
            </w:r>
            <w:r w:rsidR="003A1D31" w:rsidRPr="004831AB">
              <w:rPr>
                <w:rFonts w:ascii="Times New Roman" w:eastAsia="Calibri" w:hAnsi="Times New Roman" w:cs="Times New Roman"/>
                <w:lang w:val="sr-Cyrl-CS"/>
              </w:rPr>
              <w:t>15</w:t>
            </w:r>
            <w:r w:rsidRPr="004831AB">
              <w:rPr>
                <w:rFonts w:ascii="Times New Roman" w:eastAsia="Calibri" w:hAnsi="Times New Roman" w:cs="Times New Roman"/>
                <w:lang w:val="sr-Cyrl-CS"/>
              </w:rPr>
              <w:t xml:space="preserve"> (2027)</w:t>
            </w:r>
          </w:p>
        </w:tc>
      </w:tr>
      <w:tr w:rsidR="00CE622E" w:rsidRPr="004831AB" w14:paraId="2813B960" w14:textId="77777777" w:rsidTr="00F95A91">
        <w:tc>
          <w:tcPr>
            <w:tcW w:w="1555" w:type="dxa"/>
          </w:tcPr>
          <w:p w14:paraId="7D0E0C92"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795" w:type="dxa"/>
            <w:gridSpan w:val="4"/>
          </w:tcPr>
          <w:p w14:paraId="1F054423" w14:textId="77777777" w:rsidR="00CE622E" w:rsidRPr="004831AB" w:rsidRDefault="00A572C6" w:rsidP="00A572C6">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У</w:t>
            </w:r>
            <w:r w:rsidR="00786408" w:rsidRPr="004831AB">
              <w:rPr>
                <w:rFonts w:ascii="Times New Roman" w:eastAsia="Calibri" w:hAnsi="Times New Roman" w:cs="Times New Roman"/>
                <w:lang w:val="sr-Cyrl-CS"/>
              </w:rPr>
              <w:t xml:space="preserve">кључивање у ланце вредности и ланце добављача како страних, тако и домаћих фирми представља значајан, а још увек неискоришћен потенцијал. </w:t>
            </w:r>
            <w:r w:rsidR="00CE622E" w:rsidRPr="004831AB">
              <w:rPr>
                <w:rFonts w:ascii="Times New Roman" w:eastAsia="Calibri" w:hAnsi="Times New Roman" w:cs="Times New Roman"/>
                <w:lang w:val="sr-Cyrl-CS"/>
              </w:rPr>
              <w:t xml:space="preserve">Имајући у виду још увек, недовољно разумевање  користи које </w:t>
            </w:r>
            <w:r w:rsidR="00786408" w:rsidRPr="004831AB">
              <w:rPr>
                <w:rFonts w:ascii="Times New Roman" w:eastAsia="Calibri" w:hAnsi="Times New Roman" w:cs="Times New Roman"/>
                <w:lang w:val="sr-Cyrl-CS"/>
              </w:rPr>
              <w:t xml:space="preserve">повезивање и </w:t>
            </w:r>
            <w:r w:rsidR="00CE622E" w:rsidRPr="004831AB">
              <w:rPr>
                <w:rFonts w:ascii="Times New Roman" w:eastAsia="Calibri" w:hAnsi="Times New Roman" w:cs="Times New Roman"/>
                <w:lang w:val="sr-Cyrl-CS"/>
              </w:rPr>
              <w:t xml:space="preserve">удруживање </w:t>
            </w:r>
            <w:r w:rsidR="00786408" w:rsidRPr="004831AB">
              <w:rPr>
                <w:rFonts w:ascii="Times New Roman" w:eastAsia="Calibri" w:hAnsi="Times New Roman" w:cs="Times New Roman"/>
                <w:lang w:val="sr-Cyrl-CS"/>
              </w:rPr>
              <w:t xml:space="preserve"> МСПП </w:t>
            </w:r>
            <w:r w:rsidR="00CE622E" w:rsidRPr="004831AB">
              <w:rPr>
                <w:rFonts w:ascii="Times New Roman" w:eastAsia="Calibri" w:hAnsi="Times New Roman" w:cs="Times New Roman"/>
                <w:lang w:val="sr-Cyrl-CS"/>
              </w:rPr>
              <w:t xml:space="preserve">са собом носи, те акутни проблем недостатка поверења условљен још увек </w:t>
            </w:r>
            <w:r w:rsidR="00786408" w:rsidRPr="004831AB">
              <w:rPr>
                <w:rFonts w:ascii="Times New Roman" w:eastAsia="Calibri" w:hAnsi="Times New Roman" w:cs="Times New Roman"/>
                <w:lang w:val="sr-Cyrl-CS"/>
              </w:rPr>
              <w:t>кратком</w:t>
            </w:r>
            <w:r w:rsidR="00CE622E" w:rsidRPr="004831AB">
              <w:rPr>
                <w:rFonts w:ascii="Times New Roman" w:eastAsia="Calibri" w:hAnsi="Times New Roman" w:cs="Times New Roman"/>
                <w:lang w:val="sr-Cyrl-CS"/>
              </w:rPr>
              <w:t xml:space="preserve"> традицијом предузетништва у Републици Србији у поређењу са развијеним економијама ЕУ, ова мера за циљ има даљу промоцију</w:t>
            </w:r>
            <w:r w:rsidR="00786408" w:rsidRPr="004831AB">
              <w:rPr>
                <w:rFonts w:ascii="Times New Roman" w:eastAsia="Calibri" w:hAnsi="Times New Roman" w:cs="Times New Roman"/>
                <w:lang w:val="sr-Cyrl-CS"/>
              </w:rPr>
              <w:t xml:space="preserve"> и подстицање повезивања</w:t>
            </w:r>
            <w:r w:rsidR="00CE622E" w:rsidRPr="004831AB">
              <w:rPr>
                <w:rFonts w:ascii="Times New Roman" w:eastAsia="Calibri" w:hAnsi="Times New Roman" w:cs="Times New Roman"/>
                <w:lang w:val="sr-Cyrl-CS"/>
              </w:rPr>
              <w:t xml:space="preserve"> МСПП ради њиховог лакшег наступа на домаћем и бољу позицију на међународном тржишту.</w:t>
            </w:r>
            <w:r w:rsidR="00C27EFA" w:rsidRPr="004831AB">
              <w:rPr>
                <w:rFonts w:ascii="Times New Roman" w:eastAsia="Calibri" w:hAnsi="Times New Roman" w:cs="Times New Roman"/>
                <w:lang w:val="sr-Cyrl-CS"/>
              </w:rPr>
              <w:t xml:space="preserve"> </w:t>
            </w:r>
            <w:r w:rsidR="00786408" w:rsidRPr="004831AB">
              <w:rPr>
                <w:rFonts w:ascii="Times New Roman" w:eastAsia="Calibri" w:hAnsi="Times New Roman" w:cs="Times New Roman"/>
                <w:lang w:val="sr-Cyrl-CS"/>
              </w:rPr>
              <w:t>Мера предвиђа програме финансијске подршке МСПП за укључивање у међународне ланце вредности и за кластере</w:t>
            </w:r>
            <w:r w:rsidR="00D0635A" w:rsidRPr="004831AB">
              <w:rPr>
                <w:rFonts w:ascii="Times New Roman" w:eastAsia="Calibri" w:hAnsi="Times New Roman" w:cs="Times New Roman"/>
                <w:lang w:val="sr-Cyrl-CS"/>
              </w:rPr>
              <w:t>.</w:t>
            </w:r>
            <w:r w:rsidR="00786408" w:rsidRPr="004831AB">
              <w:rPr>
                <w:rFonts w:ascii="Times New Roman" w:eastAsia="Calibri" w:hAnsi="Times New Roman" w:cs="Times New Roman"/>
                <w:lang w:val="sr-Cyrl-CS"/>
              </w:rPr>
              <w:t xml:space="preserve"> Пратеће активности биће промоција примера добре праксе, </w:t>
            </w:r>
            <w:r w:rsidRPr="004831AB">
              <w:rPr>
                <w:rFonts w:ascii="Times New Roman" w:eastAsia="Calibri" w:hAnsi="Times New Roman" w:cs="Times New Roman"/>
                <w:lang w:val="sr-Cyrl-CS"/>
              </w:rPr>
              <w:t xml:space="preserve">платформе и услуге за </w:t>
            </w:r>
            <w:r w:rsidR="00786408" w:rsidRPr="004831AB">
              <w:rPr>
                <w:rFonts w:ascii="Times New Roman" w:eastAsia="Calibri" w:hAnsi="Times New Roman" w:cs="Times New Roman"/>
                <w:lang w:val="sr-Cyrl-CS"/>
              </w:rPr>
              <w:t xml:space="preserve">повезивање као и услуге информисања и саветовања. </w:t>
            </w:r>
          </w:p>
        </w:tc>
      </w:tr>
      <w:tr w:rsidR="00CE622E" w:rsidRPr="004831AB" w14:paraId="0B18F678" w14:textId="77777777" w:rsidTr="00F95A91">
        <w:tc>
          <w:tcPr>
            <w:tcW w:w="1555" w:type="dxa"/>
          </w:tcPr>
          <w:p w14:paraId="17BB565E"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795" w:type="dxa"/>
            <w:gridSpan w:val="4"/>
          </w:tcPr>
          <w:p w14:paraId="08ED1A5C" w14:textId="1C6C8FF2" w:rsidR="00CE622E" w:rsidRPr="004831AB" w:rsidRDefault="00786408" w:rsidP="00A572C6">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Реализација ове мере омогућиће</w:t>
            </w:r>
            <w:r w:rsidR="00CE622E" w:rsidRPr="004831AB">
              <w:rPr>
                <w:rFonts w:ascii="Times New Roman" w:eastAsia="Calibri" w:hAnsi="Times New Roman" w:cs="Times New Roman"/>
                <w:lang w:val="sr-Cyrl-CS"/>
              </w:rPr>
              <w:t xml:space="preserve"> већ</w:t>
            </w:r>
            <w:r w:rsidRPr="004831AB">
              <w:rPr>
                <w:rFonts w:ascii="Times New Roman" w:eastAsia="Calibri" w:hAnsi="Times New Roman" w:cs="Times New Roman"/>
                <w:lang w:val="sr-Cyrl-CS"/>
              </w:rPr>
              <w:t>у</w:t>
            </w:r>
            <w:r w:rsidR="00CE622E" w:rsidRPr="004831AB">
              <w:rPr>
                <w:rFonts w:ascii="Times New Roman" w:eastAsia="Calibri" w:hAnsi="Times New Roman" w:cs="Times New Roman"/>
                <w:lang w:val="sr-Cyrl-CS"/>
              </w:rPr>
              <w:t xml:space="preserve"> видљивост МСПП </w:t>
            </w:r>
            <w:r w:rsidRPr="004831AB">
              <w:rPr>
                <w:rFonts w:ascii="Times New Roman" w:eastAsia="Calibri" w:hAnsi="Times New Roman" w:cs="Times New Roman"/>
                <w:lang w:val="sr-Cyrl-CS"/>
              </w:rPr>
              <w:t xml:space="preserve">као потенцијалних </w:t>
            </w:r>
            <w:r w:rsidR="00CC0571" w:rsidRPr="004831AB">
              <w:rPr>
                <w:rFonts w:ascii="Times New Roman" w:eastAsia="Calibri" w:hAnsi="Times New Roman" w:cs="Times New Roman"/>
                <w:lang w:val="sr-Cyrl-CS"/>
              </w:rPr>
              <w:t xml:space="preserve">добављача </w:t>
            </w:r>
            <w:r w:rsidR="00CE622E" w:rsidRPr="004831AB">
              <w:rPr>
                <w:rFonts w:ascii="Times New Roman" w:eastAsia="Calibri" w:hAnsi="Times New Roman" w:cs="Times New Roman"/>
                <w:lang w:val="sr-Cyrl-CS"/>
              </w:rPr>
              <w:t>и разв</w:t>
            </w:r>
            <w:r w:rsidRPr="004831AB">
              <w:rPr>
                <w:rFonts w:ascii="Times New Roman" w:eastAsia="Calibri" w:hAnsi="Times New Roman" w:cs="Times New Roman"/>
                <w:lang w:val="sr-Cyrl-CS"/>
              </w:rPr>
              <w:t>иће</w:t>
            </w:r>
            <w:r w:rsidR="00CE622E" w:rsidRPr="004831AB">
              <w:rPr>
                <w:rFonts w:ascii="Times New Roman" w:eastAsia="Calibri" w:hAnsi="Times New Roman" w:cs="Times New Roman"/>
                <w:lang w:val="sr-Cyrl-CS"/>
              </w:rPr>
              <w:t xml:space="preserve"> </w:t>
            </w:r>
            <w:r w:rsidR="00B126A1" w:rsidRPr="004831AB">
              <w:rPr>
                <w:rFonts w:ascii="Times New Roman" w:eastAsia="Calibri" w:hAnsi="Times New Roman" w:cs="Times New Roman"/>
                <w:lang w:val="sr-Cyrl-CS"/>
              </w:rPr>
              <w:t xml:space="preserve">потенцијал </w:t>
            </w:r>
            <w:r w:rsidR="00CE622E" w:rsidRPr="004831AB">
              <w:rPr>
                <w:rFonts w:ascii="Times New Roman" w:eastAsia="Calibri" w:hAnsi="Times New Roman" w:cs="Times New Roman"/>
                <w:lang w:val="sr-Cyrl-CS"/>
              </w:rPr>
              <w:t xml:space="preserve">за заједнички наступ како на домаћем тако и на </w:t>
            </w:r>
            <w:r w:rsidR="00CE622E" w:rsidRPr="004831AB">
              <w:rPr>
                <w:rFonts w:ascii="Times New Roman" w:eastAsia="Calibri" w:hAnsi="Times New Roman" w:cs="Times New Roman"/>
                <w:lang w:val="sr-Cyrl-CS"/>
              </w:rPr>
              <w:lastRenderedPageBreak/>
              <w:t>стран</w:t>
            </w:r>
            <w:r w:rsidR="00B00BEA" w:rsidRPr="004831AB">
              <w:rPr>
                <w:rFonts w:ascii="Times New Roman" w:eastAsia="Calibri" w:hAnsi="Times New Roman" w:cs="Times New Roman"/>
                <w:lang w:val="sr-Cyrl-CS"/>
              </w:rPr>
              <w:t>о</w:t>
            </w:r>
            <w:r w:rsidR="00CE622E" w:rsidRPr="004831AB">
              <w:rPr>
                <w:rFonts w:ascii="Times New Roman" w:eastAsia="Calibri" w:hAnsi="Times New Roman" w:cs="Times New Roman"/>
                <w:lang w:val="sr-Cyrl-CS"/>
              </w:rPr>
              <w:t>м тржиш</w:t>
            </w:r>
            <w:r w:rsidR="00B00BEA" w:rsidRPr="004831AB">
              <w:rPr>
                <w:rFonts w:ascii="Times New Roman" w:eastAsia="Calibri" w:hAnsi="Times New Roman" w:cs="Times New Roman"/>
                <w:lang w:val="sr-Cyrl-CS"/>
              </w:rPr>
              <w:t>ту</w:t>
            </w:r>
            <w:r w:rsidR="00B126A1" w:rsidRPr="004831AB">
              <w:rPr>
                <w:rFonts w:ascii="Times New Roman" w:eastAsia="Calibri" w:hAnsi="Times New Roman" w:cs="Times New Roman"/>
                <w:lang w:val="sr-Cyrl-CS"/>
              </w:rPr>
              <w:t>, као и укључивање у глобалне ланце вредности</w:t>
            </w:r>
            <w:r w:rsidR="00CE622E" w:rsidRPr="004831AB">
              <w:rPr>
                <w:rFonts w:ascii="Times New Roman" w:eastAsia="Calibri" w:hAnsi="Times New Roman" w:cs="Times New Roman"/>
                <w:lang w:val="sr-Cyrl-CS"/>
              </w:rPr>
              <w:t xml:space="preserve">. </w:t>
            </w:r>
            <w:r w:rsidR="00210074" w:rsidRPr="004831AB">
              <w:rPr>
                <w:rFonts w:ascii="Times New Roman" w:eastAsia="Calibri" w:hAnsi="Times New Roman" w:cs="Times New Roman"/>
                <w:lang w:val="sr-Cyrl-CS"/>
              </w:rPr>
              <w:t>То ће довести до унапређења конкурентности сектора, али и читаве привреде Републике Србије.</w:t>
            </w:r>
            <w:r w:rsidR="00CE622E" w:rsidRPr="004831AB">
              <w:rPr>
                <w:rFonts w:ascii="Times New Roman" w:eastAsia="Calibri" w:hAnsi="Times New Roman" w:cs="Times New Roman"/>
                <w:lang w:val="sr-Cyrl-CS"/>
              </w:rPr>
              <w:t xml:space="preserve"> </w:t>
            </w:r>
          </w:p>
        </w:tc>
      </w:tr>
    </w:tbl>
    <w:p w14:paraId="57B4122A" w14:textId="77777777" w:rsidR="006B473D" w:rsidRPr="004831AB" w:rsidRDefault="006B473D" w:rsidP="00210074">
      <w:pPr>
        <w:pStyle w:val="Heading3"/>
        <w:spacing w:before="240"/>
        <w:jc w:val="both"/>
        <w:rPr>
          <w:rFonts w:eastAsia="Times New Roman"/>
          <w:bCs/>
          <w:lang w:val="sr-Cyrl-CS"/>
        </w:rPr>
      </w:pPr>
      <w:r w:rsidRPr="004831AB">
        <w:rPr>
          <w:rFonts w:eastAsia="Times New Roman"/>
          <w:bCs/>
          <w:lang w:val="sr-Cyrl-CS"/>
        </w:rPr>
        <w:lastRenderedPageBreak/>
        <w:t xml:space="preserve">Мера 3.5: </w:t>
      </w:r>
      <w:r w:rsidR="003A1D31" w:rsidRPr="004831AB">
        <w:rPr>
          <w:rFonts w:eastAsia="Times New Roman"/>
          <w:bCs/>
          <w:lang w:val="sr-Cyrl-CS"/>
        </w:rPr>
        <w:t xml:space="preserve">Јачање </w:t>
      </w:r>
      <w:r w:rsidR="007F55B9" w:rsidRPr="004831AB">
        <w:rPr>
          <w:rFonts w:eastAsia="Times New Roman"/>
          <w:bCs/>
          <w:lang w:val="sr-Cyrl-CS"/>
        </w:rPr>
        <w:t>отпорност</w:t>
      </w:r>
      <w:r w:rsidR="003A1D31" w:rsidRPr="004831AB">
        <w:rPr>
          <w:rFonts w:eastAsia="Times New Roman"/>
          <w:bCs/>
          <w:lang w:val="sr-Cyrl-CS"/>
        </w:rPr>
        <w:t>и</w:t>
      </w:r>
      <w:r w:rsidR="007F55B9" w:rsidRPr="004831AB">
        <w:rPr>
          <w:rFonts w:eastAsia="Times New Roman"/>
          <w:bCs/>
          <w:lang w:val="sr-Cyrl-CS"/>
        </w:rPr>
        <w:t xml:space="preserve"> МСПП на кризе </w:t>
      </w:r>
    </w:p>
    <w:tbl>
      <w:tblPr>
        <w:tblStyle w:val="TableGrid"/>
        <w:tblW w:w="0" w:type="auto"/>
        <w:tblLook w:val="04A0" w:firstRow="1" w:lastRow="0" w:firstColumn="1" w:lastColumn="0" w:noHBand="0" w:noVBand="1"/>
      </w:tblPr>
      <w:tblGrid>
        <w:gridCol w:w="1491"/>
        <w:gridCol w:w="2325"/>
        <w:gridCol w:w="1996"/>
        <w:gridCol w:w="1659"/>
        <w:gridCol w:w="1879"/>
      </w:tblGrid>
      <w:tr w:rsidR="002566A1" w:rsidRPr="004831AB" w14:paraId="780B0C4E" w14:textId="77777777" w:rsidTr="001F3BDC">
        <w:tc>
          <w:tcPr>
            <w:tcW w:w="1491" w:type="dxa"/>
          </w:tcPr>
          <w:p w14:paraId="3229B46B" w14:textId="77777777" w:rsidR="002566A1" w:rsidRPr="004831AB" w:rsidRDefault="002566A1" w:rsidP="002566A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4321" w:type="dxa"/>
            <w:gridSpan w:val="2"/>
          </w:tcPr>
          <w:p w14:paraId="04FB3A93"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Едукативно-информативна</w:t>
            </w:r>
          </w:p>
        </w:tc>
        <w:tc>
          <w:tcPr>
            <w:tcW w:w="1659" w:type="dxa"/>
          </w:tcPr>
          <w:p w14:paraId="3502DABE"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1879" w:type="dxa"/>
          </w:tcPr>
          <w:p w14:paraId="498E6D7C"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1D2F80" w:rsidRPr="004831AB" w14:paraId="3CA75DE5" w14:textId="77777777" w:rsidTr="002566A1">
        <w:tc>
          <w:tcPr>
            <w:tcW w:w="1491" w:type="dxa"/>
          </w:tcPr>
          <w:p w14:paraId="5AE3F981"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2325" w:type="dxa"/>
          </w:tcPr>
          <w:p w14:paraId="76E7BCBA"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996" w:type="dxa"/>
          </w:tcPr>
          <w:p w14:paraId="334016DE"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659" w:type="dxa"/>
          </w:tcPr>
          <w:p w14:paraId="3CBA20AF"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879" w:type="dxa"/>
          </w:tcPr>
          <w:p w14:paraId="4B84B1D7"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1D2F80" w:rsidRPr="004831AB" w14:paraId="0933BBEC" w14:textId="77777777" w:rsidTr="002566A1">
        <w:tc>
          <w:tcPr>
            <w:tcW w:w="1491" w:type="dxa"/>
          </w:tcPr>
          <w:p w14:paraId="7BC9FD65" w14:textId="77777777" w:rsidR="001D2F80" w:rsidRPr="004831AB" w:rsidRDefault="001D2F80" w:rsidP="001D2F80">
            <w:pPr>
              <w:rPr>
                <w:rFonts w:ascii="Times New Roman" w:eastAsia="Calibri" w:hAnsi="Times New Roman" w:cs="Times New Roman"/>
                <w:bCs/>
                <w:lang w:val="sr-Cyrl-CS"/>
              </w:rPr>
            </w:pPr>
          </w:p>
        </w:tc>
        <w:tc>
          <w:tcPr>
            <w:tcW w:w="2325" w:type="dxa"/>
            <w:shd w:val="clear" w:color="auto" w:fill="auto"/>
          </w:tcPr>
          <w:p w14:paraId="0F0AF86A" w14:textId="77777777" w:rsidR="001D2F80" w:rsidRPr="004831AB" w:rsidRDefault="001D2F80"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Број МСПП који су користили алат за самопроцену у периоду имплементације Стратегије </w:t>
            </w:r>
          </w:p>
        </w:tc>
        <w:tc>
          <w:tcPr>
            <w:tcW w:w="1996" w:type="dxa"/>
          </w:tcPr>
          <w:p w14:paraId="32E8C390" w14:textId="77777777" w:rsidR="001D2F80" w:rsidRPr="004831AB" w:rsidRDefault="001D2F80"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Сајт ПКС, Портал „Предузетништво</w:t>
            </w:r>
            <w:r w:rsidR="007E5D5C" w:rsidRPr="004831AB">
              <w:rPr>
                <w:rFonts w:ascii="Times New Roman" w:eastAsia="Calibri" w:hAnsi="Times New Roman" w:cs="Times New Roman"/>
                <w:lang w:val="sr-Cyrl-CS"/>
              </w:rPr>
              <w:t>”</w:t>
            </w:r>
          </w:p>
        </w:tc>
        <w:tc>
          <w:tcPr>
            <w:tcW w:w="1659" w:type="dxa"/>
          </w:tcPr>
          <w:p w14:paraId="26A348FA" w14:textId="77777777" w:rsidR="001D2F80" w:rsidRPr="004831AB" w:rsidRDefault="003A1D31"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0</w:t>
            </w:r>
          </w:p>
        </w:tc>
        <w:tc>
          <w:tcPr>
            <w:tcW w:w="1879" w:type="dxa"/>
          </w:tcPr>
          <w:p w14:paraId="6133543E" w14:textId="77777777" w:rsidR="001D2F80" w:rsidRPr="004831AB" w:rsidRDefault="003A1D31"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100</w:t>
            </w:r>
          </w:p>
        </w:tc>
      </w:tr>
      <w:tr w:rsidR="006B473D" w:rsidRPr="004831AB" w14:paraId="5D2CF256" w14:textId="77777777" w:rsidTr="002566A1">
        <w:tc>
          <w:tcPr>
            <w:tcW w:w="1491" w:type="dxa"/>
          </w:tcPr>
          <w:p w14:paraId="20BD07B5" w14:textId="77777777" w:rsidR="006B473D" w:rsidRPr="004831AB" w:rsidRDefault="006B473D" w:rsidP="00B15D10">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59" w:type="dxa"/>
            <w:gridSpan w:val="4"/>
            <w:shd w:val="clear" w:color="auto" w:fill="auto"/>
          </w:tcPr>
          <w:p w14:paraId="0EDD5C5C" w14:textId="49D9464A" w:rsidR="006B473D" w:rsidRPr="004831AB" w:rsidRDefault="00210074" w:rsidP="004831AB">
            <w:pPr>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Због </w:t>
            </w:r>
            <w:r w:rsidR="002071FD" w:rsidRPr="004831AB">
              <w:rPr>
                <w:rFonts w:ascii="Times New Roman" w:eastAsia="Calibri" w:hAnsi="Times New Roman" w:cs="Times New Roman"/>
                <w:lang w:val="sr-Cyrl-CS"/>
              </w:rPr>
              <w:t xml:space="preserve">ограничених </w:t>
            </w:r>
            <w:r w:rsidRPr="004831AB">
              <w:rPr>
                <w:rFonts w:ascii="Times New Roman" w:eastAsia="Calibri" w:hAnsi="Times New Roman" w:cs="Times New Roman"/>
                <w:lang w:val="sr-Cyrl-CS"/>
              </w:rPr>
              <w:t xml:space="preserve">људских, техничких и финансијских капацитета, </w:t>
            </w:r>
            <w:r w:rsidR="00D54E95" w:rsidRPr="004831AB">
              <w:rPr>
                <w:rFonts w:ascii="Times New Roman" w:eastAsia="Calibri" w:hAnsi="Times New Roman" w:cs="Times New Roman"/>
                <w:lang w:val="sr-Cyrl-CS"/>
              </w:rPr>
              <w:t xml:space="preserve">појединачна </w:t>
            </w:r>
            <w:r w:rsidRPr="004831AB">
              <w:rPr>
                <w:rFonts w:ascii="Times New Roman" w:eastAsia="Calibri" w:hAnsi="Times New Roman" w:cs="Times New Roman"/>
                <w:lang w:val="sr-Cyrl-CS"/>
              </w:rPr>
              <w:t xml:space="preserve">МСПП </w:t>
            </w:r>
            <w:r w:rsidR="00D54E95" w:rsidRPr="004831AB">
              <w:rPr>
                <w:rFonts w:ascii="Times New Roman" w:eastAsia="Calibri" w:hAnsi="Times New Roman" w:cs="Times New Roman"/>
                <w:lang w:val="sr-Cyrl-CS"/>
              </w:rPr>
              <w:t>су</w:t>
            </w:r>
            <w:r w:rsidRPr="004831AB">
              <w:rPr>
                <w:rFonts w:ascii="Times New Roman" w:eastAsia="Calibri" w:hAnsi="Times New Roman" w:cs="Times New Roman"/>
                <w:lang w:val="sr-Cyrl-CS"/>
              </w:rPr>
              <w:t xml:space="preserve"> нарочито осетљив на кризне ситуације</w:t>
            </w:r>
            <w:r w:rsidR="003E3240" w:rsidRPr="004831AB">
              <w:rPr>
                <w:rFonts w:ascii="Times New Roman" w:eastAsia="Calibri" w:hAnsi="Times New Roman" w:cs="Times New Roman"/>
                <w:lang w:val="sr-Cyrl-CS"/>
              </w:rPr>
              <w:t>, катастрофе, као</w:t>
            </w:r>
            <w:r w:rsidRPr="004831AB">
              <w:rPr>
                <w:rFonts w:ascii="Times New Roman" w:eastAsia="Calibri" w:hAnsi="Times New Roman" w:cs="Times New Roman"/>
                <w:lang w:val="sr-Cyrl-CS"/>
              </w:rPr>
              <w:t xml:space="preserve"> и на поремећаје на тржишту</w:t>
            </w:r>
            <w:r w:rsidR="00D54E95" w:rsidRPr="004831AB">
              <w:rPr>
                <w:rFonts w:ascii="Times New Roman" w:eastAsia="Calibri" w:hAnsi="Times New Roman" w:cs="Times New Roman"/>
                <w:lang w:val="sr-Cyrl-CS"/>
              </w:rPr>
              <w:t>.</w:t>
            </w:r>
            <w:r w:rsidRPr="004831AB">
              <w:rPr>
                <w:rFonts w:ascii="Times New Roman" w:eastAsia="Calibri" w:hAnsi="Times New Roman" w:cs="Times New Roman"/>
                <w:lang w:val="sr-Cyrl-CS"/>
              </w:rPr>
              <w:t xml:space="preserve"> </w:t>
            </w:r>
            <w:r w:rsidR="003E3240" w:rsidRPr="004831AB">
              <w:rPr>
                <w:rFonts w:ascii="Times New Roman" w:eastAsia="Calibri" w:hAnsi="Times New Roman" w:cs="Times New Roman"/>
                <w:lang w:val="sr-Cyrl-CS"/>
              </w:rPr>
              <w:t>Циљ ове мере је да, са једне стране, омогући надлежним институцијама да редовно прате најважније показатеље стања у сектору МСПП како</w:t>
            </w:r>
            <w:r w:rsidR="002071FD" w:rsidRPr="004831AB">
              <w:rPr>
                <w:rFonts w:ascii="Times New Roman" w:eastAsia="Calibri" w:hAnsi="Times New Roman" w:cs="Times New Roman"/>
                <w:lang w:val="sr-Cyrl-CS"/>
              </w:rPr>
              <w:t xml:space="preserve"> би </w:t>
            </w:r>
            <w:r w:rsidR="003E3240" w:rsidRPr="004831AB">
              <w:rPr>
                <w:rFonts w:ascii="Times New Roman" w:eastAsia="Calibri" w:hAnsi="Times New Roman" w:cs="Times New Roman"/>
                <w:lang w:val="sr-Cyrl-CS"/>
              </w:rPr>
              <w:t xml:space="preserve"> могли на време </w:t>
            </w:r>
            <w:r w:rsidR="002071FD" w:rsidRPr="004831AB">
              <w:rPr>
                <w:rFonts w:ascii="Times New Roman" w:eastAsia="Calibri" w:hAnsi="Times New Roman" w:cs="Times New Roman"/>
                <w:lang w:val="sr-Cyrl-CS"/>
              </w:rPr>
              <w:t xml:space="preserve">да </w:t>
            </w:r>
            <w:r w:rsidR="003E3240" w:rsidRPr="004831AB">
              <w:rPr>
                <w:rFonts w:ascii="Times New Roman" w:eastAsia="Calibri" w:hAnsi="Times New Roman" w:cs="Times New Roman"/>
                <w:lang w:val="sr-Cyrl-CS"/>
              </w:rPr>
              <w:t>реагују у случају значајних п</w:t>
            </w:r>
            <w:r w:rsidR="00AE11F9" w:rsidRPr="004831AB">
              <w:rPr>
                <w:rFonts w:ascii="Times New Roman" w:eastAsia="Calibri" w:hAnsi="Times New Roman" w:cs="Times New Roman"/>
                <w:lang w:val="sr-Cyrl-CS"/>
              </w:rPr>
              <w:t>оремећаја, а са друге стране да</w:t>
            </w:r>
            <w:r w:rsidR="003E3240" w:rsidRPr="004831AB">
              <w:rPr>
                <w:rFonts w:ascii="Times New Roman" w:eastAsia="Calibri" w:hAnsi="Times New Roman" w:cs="Times New Roman"/>
                <w:lang w:val="sr-Cyrl-CS"/>
              </w:rPr>
              <w:t xml:space="preserve"> успостави </w:t>
            </w:r>
            <w:r w:rsidR="009B7D7B" w:rsidRPr="004831AB">
              <w:rPr>
                <w:rFonts w:ascii="Times New Roman" w:eastAsia="Calibri" w:hAnsi="Times New Roman" w:cs="Times New Roman"/>
                <w:lang w:val="sr-Cyrl-CS"/>
              </w:rPr>
              <w:t>алате</w:t>
            </w:r>
            <w:r w:rsidR="003E3240" w:rsidRPr="004831AB">
              <w:rPr>
                <w:rFonts w:ascii="Times New Roman" w:eastAsia="Calibri" w:hAnsi="Times New Roman" w:cs="Times New Roman"/>
                <w:lang w:val="sr-Cyrl-CS"/>
              </w:rPr>
              <w:t xml:space="preserve"> за само</w:t>
            </w:r>
            <w:r w:rsidR="00D54E95" w:rsidRPr="004831AB">
              <w:rPr>
                <w:rFonts w:ascii="Times New Roman" w:eastAsia="Calibri" w:hAnsi="Times New Roman" w:cs="Times New Roman"/>
                <w:lang w:val="sr-Cyrl-CS"/>
              </w:rPr>
              <w:t>процен</w:t>
            </w:r>
            <w:r w:rsidR="003E3240" w:rsidRPr="004831AB">
              <w:rPr>
                <w:rFonts w:ascii="Times New Roman" w:eastAsia="Calibri" w:hAnsi="Times New Roman" w:cs="Times New Roman"/>
                <w:lang w:val="sr-Cyrl-CS"/>
              </w:rPr>
              <w:t>у</w:t>
            </w:r>
            <w:r w:rsidR="00426EA4" w:rsidRPr="004831AB">
              <w:rPr>
                <w:rFonts w:ascii="Times New Roman" w:eastAsia="Calibri" w:hAnsi="Times New Roman" w:cs="Times New Roman"/>
                <w:lang w:val="sr-Cyrl-CS"/>
              </w:rPr>
              <w:t xml:space="preserve"> ризика са којим </w:t>
            </w:r>
            <w:r w:rsidR="002071FD" w:rsidRPr="004831AB">
              <w:rPr>
                <w:rFonts w:ascii="Times New Roman" w:eastAsia="Calibri" w:hAnsi="Times New Roman" w:cs="Times New Roman"/>
                <w:lang w:val="sr-Cyrl-CS"/>
              </w:rPr>
              <w:t>се су</w:t>
            </w:r>
            <w:r w:rsidR="00426EA4" w:rsidRPr="004831AB">
              <w:rPr>
                <w:rFonts w:ascii="Times New Roman" w:eastAsia="Calibri" w:hAnsi="Times New Roman" w:cs="Times New Roman"/>
                <w:lang w:val="sr-Cyrl-CS"/>
              </w:rPr>
              <w:t>очава</w:t>
            </w:r>
            <w:r w:rsidR="00D54E95" w:rsidRPr="004831AB">
              <w:rPr>
                <w:rFonts w:ascii="Times New Roman" w:eastAsia="Calibri" w:hAnsi="Times New Roman" w:cs="Times New Roman"/>
                <w:lang w:val="sr-Cyrl-CS"/>
              </w:rPr>
              <w:t>ју</w:t>
            </w:r>
            <w:r w:rsidR="00426EA4" w:rsidRPr="004831AB">
              <w:rPr>
                <w:rFonts w:ascii="Times New Roman" w:eastAsia="Calibri" w:hAnsi="Times New Roman" w:cs="Times New Roman"/>
                <w:lang w:val="sr-Cyrl-CS"/>
              </w:rPr>
              <w:t xml:space="preserve"> и за изградњу дугорочне отпорности на екстерне ризике. </w:t>
            </w:r>
            <w:r w:rsidR="003E3240" w:rsidRPr="004831AB">
              <w:rPr>
                <w:rFonts w:ascii="Times New Roman" w:eastAsia="Calibri" w:hAnsi="Times New Roman" w:cs="Times New Roman"/>
                <w:lang w:val="sr-Cyrl-CS"/>
              </w:rPr>
              <w:t>Мера предвиђа и континуирану подршку за одржавање ликвидности, која</w:t>
            </w:r>
            <w:r w:rsidR="002071FD" w:rsidRPr="004831AB">
              <w:rPr>
                <w:rFonts w:ascii="Times New Roman" w:eastAsia="Calibri" w:hAnsi="Times New Roman" w:cs="Times New Roman"/>
                <w:lang w:val="sr-Cyrl-CS"/>
              </w:rPr>
              <w:t xml:space="preserve"> у</w:t>
            </w:r>
            <w:r w:rsidR="003E3240" w:rsidRPr="004831AB">
              <w:rPr>
                <w:rFonts w:ascii="Times New Roman" w:eastAsia="Calibri" w:hAnsi="Times New Roman" w:cs="Times New Roman"/>
                <w:lang w:val="sr-Cyrl-CS"/>
              </w:rPr>
              <w:t xml:space="preserve"> случају кризне ситуације може да представља инструмент брзог реаговања.</w:t>
            </w:r>
          </w:p>
        </w:tc>
      </w:tr>
      <w:tr w:rsidR="006B473D" w:rsidRPr="004831AB" w14:paraId="1B22F1A5" w14:textId="77777777" w:rsidTr="002566A1">
        <w:tc>
          <w:tcPr>
            <w:tcW w:w="1491" w:type="dxa"/>
          </w:tcPr>
          <w:p w14:paraId="2059C0EF" w14:textId="77777777" w:rsidR="006B473D" w:rsidRPr="004831AB" w:rsidRDefault="006B473D" w:rsidP="00B15D10">
            <w:pPr>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859" w:type="dxa"/>
            <w:gridSpan w:val="4"/>
          </w:tcPr>
          <w:p w14:paraId="2E4B55AF" w14:textId="7C8E16DE" w:rsidR="006B473D" w:rsidRPr="004831AB" w:rsidRDefault="00426EA4" w:rsidP="003E3240">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Мера ће допринети јачању отпорности МСПП на спољне ризике и промене до којих долази како због различитих кризних ситуација, тако и због потенцијалних елементарних непогода и катастрофа. Кроз већу отпорност сектора МСПП,  ојачаће и њихова позиција на </w:t>
            </w:r>
            <w:r w:rsidR="00B126A1" w:rsidRPr="004831AB">
              <w:rPr>
                <w:rFonts w:ascii="Times New Roman" w:eastAsia="Calibri" w:hAnsi="Times New Roman" w:cs="Times New Roman"/>
                <w:lang w:val="sr-Cyrl-CS"/>
              </w:rPr>
              <w:t>тржишту</w:t>
            </w:r>
            <w:r w:rsidRPr="004831AB">
              <w:rPr>
                <w:rFonts w:ascii="Times New Roman" w:eastAsia="Calibri" w:hAnsi="Times New Roman" w:cs="Times New Roman"/>
                <w:lang w:val="sr-Cyrl-CS"/>
              </w:rPr>
              <w:t>, као и њихова конкурентност, што ће позитивно утицати и економиј</w:t>
            </w:r>
            <w:r w:rsidR="009B7D7B" w:rsidRPr="004831AB">
              <w:rPr>
                <w:rFonts w:ascii="Times New Roman" w:eastAsia="Calibri" w:hAnsi="Times New Roman" w:cs="Times New Roman"/>
                <w:lang w:val="sr-Cyrl-CS"/>
              </w:rPr>
              <w:t>у</w:t>
            </w:r>
            <w:r w:rsidRPr="004831AB">
              <w:rPr>
                <w:rFonts w:ascii="Times New Roman" w:eastAsia="Calibri" w:hAnsi="Times New Roman" w:cs="Times New Roman"/>
                <w:lang w:val="sr-Cyrl-CS"/>
              </w:rPr>
              <w:t xml:space="preserve"> Р</w:t>
            </w:r>
            <w:r w:rsidR="003C4E67" w:rsidRPr="004831AB">
              <w:rPr>
                <w:rFonts w:ascii="Times New Roman" w:eastAsia="Calibri" w:hAnsi="Times New Roman" w:cs="Times New Roman"/>
                <w:lang w:val="sr-Cyrl-CS"/>
              </w:rPr>
              <w:t>епублике Србије</w:t>
            </w:r>
            <w:r w:rsidRPr="004831AB">
              <w:rPr>
                <w:rFonts w:ascii="Times New Roman" w:eastAsia="Calibri" w:hAnsi="Times New Roman" w:cs="Times New Roman"/>
                <w:lang w:val="sr-Cyrl-CS"/>
              </w:rPr>
              <w:t xml:space="preserve">. </w:t>
            </w:r>
          </w:p>
        </w:tc>
      </w:tr>
    </w:tbl>
    <w:p w14:paraId="269CFCF7" w14:textId="77777777" w:rsidR="0074442F" w:rsidRPr="004831AB" w:rsidRDefault="0074442F" w:rsidP="00CE622E">
      <w:pPr>
        <w:rPr>
          <w:rFonts w:ascii="Times New Roman" w:eastAsia="Calibri" w:hAnsi="Times New Roman" w:cs="Times New Roman"/>
          <w:lang w:val="sr-Cyrl-CS"/>
        </w:rPr>
      </w:pPr>
    </w:p>
    <w:p w14:paraId="6FA16825" w14:textId="77777777" w:rsidR="00CE622E" w:rsidRPr="004831AB" w:rsidRDefault="00CE622E" w:rsidP="00237903">
      <w:pPr>
        <w:pStyle w:val="Heading2"/>
        <w:ind w:left="142" w:hanging="73"/>
        <w:jc w:val="both"/>
        <w:rPr>
          <w:rFonts w:eastAsia="Times New Roman"/>
          <w:b w:val="0"/>
          <w:lang w:val="sr-Cyrl-CS"/>
        </w:rPr>
      </w:pPr>
      <w:r w:rsidRPr="004831AB">
        <w:rPr>
          <w:rFonts w:eastAsia="Times New Roman"/>
          <w:b w:val="0"/>
          <w:lang w:val="sr-Cyrl-CS"/>
        </w:rPr>
        <w:t xml:space="preserve">Посебан циљ IV: Инклузиван </w:t>
      </w:r>
      <w:r w:rsidR="00B126A1" w:rsidRPr="004831AB">
        <w:rPr>
          <w:rFonts w:eastAsia="Times New Roman"/>
          <w:b w:val="0"/>
          <w:lang w:val="sr-Cyrl-CS"/>
        </w:rPr>
        <w:t xml:space="preserve"> сектор </w:t>
      </w:r>
      <w:r w:rsidRPr="004831AB">
        <w:rPr>
          <w:rFonts w:eastAsia="Times New Roman"/>
          <w:b w:val="0"/>
          <w:lang w:val="sr-Cyrl-CS"/>
        </w:rPr>
        <w:t>МСПП</w:t>
      </w:r>
      <w:r w:rsidR="006B473D" w:rsidRPr="004831AB">
        <w:rPr>
          <w:rFonts w:eastAsia="Times New Roman"/>
          <w:b w:val="0"/>
          <w:lang w:val="sr-Cyrl-CS"/>
        </w:rPr>
        <w:t>–</w:t>
      </w:r>
      <w:r w:rsidRPr="004831AB">
        <w:rPr>
          <w:rFonts w:eastAsia="Times New Roman"/>
          <w:b w:val="0"/>
          <w:lang w:val="sr-Cyrl-CS"/>
        </w:rPr>
        <w:t xml:space="preserve"> </w:t>
      </w:r>
      <w:r w:rsidR="006B473D" w:rsidRPr="004831AB">
        <w:rPr>
          <w:rFonts w:eastAsia="Times New Roman"/>
          <w:b w:val="0"/>
          <w:lang w:val="sr-Cyrl-CS"/>
        </w:rPr>
        <w:t>Ојачана предузетничка иницијатива и већа шанса за улазак у предузетништво за различите циљне групе</w:t>
      </w:r>
      <w:r w:rsidRPr="004831AB">
        <w:rPr>
          <w:rFonts w:eastAsia="Times New Roman"/>
          <w:b w:val="0"/>
          <w:lang w:val="sr-Cyrl-CS"/>
        </w:rPr>
        <w:t> </w:t>
      </w:r>
    </w:p>
    <w:p w14:paraId="1E253A2C" w14:textId="77777777" w:rsidR="006B473D" w:rsidRPr="004831AB" w:rsidRDefault="006B473D" w:rsidP="006B473D">
      <w:pPr>
        <w:pStyle w:val="Heading3"/>
        <w:rPr>
          <w:rStyle w:val="eop"/>
          <w:bCs/>
          <w:lang w:val="sr-Cyrl-CS"/>
        </w:rPr>
      </w:pPr>
      <w:r w:rsidRPr="004831AB">
        <w:rPr>
          <w:rStyle w:val="normaltextrun"/>
          <w:bCs/>
          <w:lang w:val="sr-Cyrl-CS"/>
        </w:rPr>
        <w:t xml:space="preserve">Мера 4.1. </w:t>
      </w:r>
      <w:bookmarkStart w:id="11" w:name="_Hlk120199398"/>
      <w:r w:rsidR="002566A1" w:rsidRPr="004831AB">
        <w:rPr>
          <w:rStyle w:val="normaltextrun"/>
          <w:bCs/>
          <w:lang w:val="sr-Cyrl-CS"/>
        </w:rPr>
        <w:t xml:space="preserve">Подстицање </w:t>
      </w:r>
      <w:r w:rsidRPr="004831AB">
        <w:rPr>
          <w:rStyle w:val="normaltextrun"/>
          <w:bCs/>
          <w:lang w:val="sr-Cyrl-CS"/>
        </w:rPr>
        <w:t>предузетничк</w:t>
      </w:r>
      <w:r w:rsidR="002566A1" w:rsidRPr="004831AB">
        <w:rPr>
          <w:rStyle w:val="normaltextrun"/>
          <w:bCs/>
          <w:lang w:val="sr-Cyrl-CS"/>
        </w:rPr>
        <w:t>ог</w:t>
      </w:r>
      <w:r w:rsidRPr="004831AB">
        <w:rPr>
          <w:rStyle w:val="normaltextrun"/>
          <w:bCs/>
          <w:lang w:val="sr-Cyrl-CS"/>
        </w:rPr>
        <w:t xml:space="preserve"> дух</w:t>
      </w:r>
      <w:r w:rsidR="002566A1" w:rsidRPr="004831AB">
        <w:rPr>
          <w:rStyle w:val="normaltextrun"/>
          <w:bCs/>
          <w:lang w:val="sr-Cyrl-CS"/>
        </w:rPr>
        <w:t>а</w:t>
      </w:r>
      <w:r w:rsidRPr="004831AB">
        <w:rPr>
          <w:rStyle w:val="normaltextrun"/>
          <w:bCs/>
          <w:lang w:val="sr-Cyrl-CS"/>
        </w:rPr>
        <w:t xml:space="preserve"> и подр</w:t>
      </w:r>
      <w:r w:rsidR="001B0CE9" w:rsidRPr="004831AB">
        <w:rPr>
          <w:rStyle w:val="normaltextrun"/>
          <w:bCs/>
          <w:lang w:val="sr-Cyrl-CS"/>
        </w:rPr>
        <w:t>шка</w:t>
      </w:r>
      <w:r w:rsidRPr="004831AB">
        <w:rPr>
          <w:rStyle w:val="normaltextrun"/>
          <w:bCs/>
          <w:lang w:val="sr-Cyrl-CS"/>
        </w:rPr>
        <w:t xml:space="preserve"> почетници у бизнису</w:t>
      </w:r>
    </w:p>
    <w:tbl>
      <w:tblPr>
        <w:tblStyle w:val="TableGrid"/>
        <w:tblW w:w="0" w:type="auto"/>
        <w:tblLook w:val="04A0" w:firstRow="1" w:lastRow="0" w:firstColumn="1" w:lastColumn="0" w:noHBand="0" w:noVBand="1"/>
      </w:tblPr>
      <w:tblGrid>
        <w:gridCol w:w="1547"/>
        <w:gridCol w:w="3257"/>
        <w:gridCol w:w="1562"/>
        <w:gridCol w:w="1616"/>
        <w:gridCol w:w="1616"/>
      </w:tblGrid>
      <w:tr w:rsidR="002566A1" w:rsidRPr="004831AB" w14:paraId="4D4D8BF0" w14:textId="77777777" w:rsidTr="002566A1">
        <w:tc>
          <w:tcPr>
            <w:tcW w:w="1547" w:type="dxa"/>
          </w:tcPr>
          <w:bookmarkEnd w:id="11"/>
          <w:p w14:paraId="15355EA9" w14:textId="77777777" w:rsidR="002566A1" w:rsidRPr="004831AB" w:rsidRDefault="002566A1" w:rsidP="002566A1">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4705" w:type="dxa"/>
            <w:gridSpan w:val="2"/>
          </w:tcPr>
          <w:p w14:paraId="3B7D4778"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549" w:type="dxa"/>
          </w:tcPr>
          <w:p w14:paraId="502BAAC6"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1549" w:type="dxa"/>
          </w:tcPr>
          <w:p w14:paraId="36434226" w14:textId="77777777" w:rsidR="002566A1" w:rsidRPr="004831AB" w:rsidRDefault="002566A1" w:rsidP="002566A1">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2566A1" w:rsidRPr="004831AB" w14:paraId="02833256" w14:textId="77777777" w:rsidTr="002566A1">
        <w:tc>
          <w:tcPr>
            <w:tcW w:w="1547" w:type="dxa"/>
          </w:tcPr>
          <w:p w14:paraId="32FE51C0" w14:textId="77777777" w:rsidR="001D2F80" w:rsidRPr="004831AB" w:rsidRDefault="001D2F80" w:rsidP="001D2F8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3257" w:type="dxa"/>
          </w:tcPr>
          <w:p w14:paraId="61930B3D" w14:textId="77777777" w:rsidR="001D2F80" w:rsidRPr="004831AB" w:rsidRDefault="001D2F80" w:rsidP="001D2F8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448" w:type="dxa"/>
          </w:tcPr>
          <w:p w14:paraId="612310DA"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549" w:type="dxa"/>
          </w:tcPr>
          <w:p w14:paraId="194A7867"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549" w:type="dxa"/>
          </w:tcPr>
          <w:p w14:paraId="58F9CEE6" w14:textId="77777777" w:rsidR="001D2F80" w:rsidRPr="004831AB" w:rsidRDefault="001D2F80" w:rsidP="001D2F8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2566A1" w:rsidRPr="004831AB" w14:paraId="292D78E6" w14:textId="77777777" w:rsidTr="002566A1">
        <w:tc>
          <w:tcPr>
            <w:tcW w:w="1547" w:type="dxa"/>
          </w:tcPr>
          <w:p w14:paraId="7E2ECC7A" w14:textId="77777777" w:rsidR="001D2F80" w:rsidRPr="004831AB" w:rsidRDefault="001D2F80" w:rsidP="001D2F8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3257" w:type="dxa"/>
          </w:tcPr>
          <w:p w14:paraId="64677036" w14:textId="77777777" w:rsidR="001D2F80" w:rsidRPr="004831AB" w:rsidRDefault="001D2F80" w:rsidP="001D2F80">
            <w:pPr>
              <w:spacing w:after="160" w:line="259" w:lineRule="auto"/>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Број подржаних почетника у </w:t>
            </w:r>
            <w:r w:rsidRPr="004831AB">
              <w:rPr>
                <w:rFonts w:ascii="Times New Roman" w:eastAsia="Calibri" w:hAnsi="Times New Roman" w:cs="Times New Roman"/>
                <w:bCs/>
                <w:lang w:val="sr-Cyrl-CS"/>
              </w:rPr>
              <w:t>бизнису</w:t>
            </w:r>
            <w:r w:rsidRPr="004831AB">
              <w:rPr>
                <w:rFonts w:ascii="Times New Roman" w:eastAsia="Calibri" w:hAnsi="Times New Roman" w:cs="Times New Roman"/>
                <w:lang w:val="sr-Cyrl-CS"/>
              </w:rPr>
              <w:t xml:space="preserve"> кроз финансијску и нефинансијску подршку</w:t>
            </w:r>
          </w:p>
        </w:tc>
        <w:tc>
          <w:tcPr>
            <w:tcW w:w="1448" w:type="dxa"/>
          </w:tcPr>
          <w:p w14:paraId="6F48BD2D" w14:textId="77777777" w:rsidR="001D2F80" w:rsidRPr="004831AB" w:rsidRDefault="001D2F80"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Извештај </w:t>
            </w:r>
            <w:r w:rsidR="00CA26F3" w:rsidRPr="004831AB">
              <w:rPr>
                <w:rFonts w:ascii="Times New Roman" w:eastAsia="Calibri" w:hAnsi="Times New Roman" w:cs="Times New Roman"/>
                <w:lang w:val="sr-Cyrl-CS"/>
              </w:rPr>
              <w:t>Министарства привреде</w:t>
            </w:r>
          </w:p>
        </w:tc>
        <w:tc>
          <w:tcPr>
            <w:tcW w:w="1549" w:type="dxa"/>
          </w:tcPr>
          <w:p w14:paraId="548E6753"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2.490 (150 кроз финансијску подршку а 2.340 кроз нефинансијску подршку)</w:t>
            </w:r>
          </w:p>
          <w:p w14:paraId="761EBE48" w14:textId="77777777" w:rsidR="001D2F80"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(2021) </w:t>
            </w:r>
          </w:p>
        </w:tc>
        <w:tc>
          <w:tcPr>
            <w:tcW w:w="1549" w:type="dxa"/>
          </w:tcPr>
          <w:p w14:paraId="1476B5E9" w14:textId="233C949D" w:rsidR="001D2F80" w:rsidRPr="004831AB" w:rsidRDefault="00C84D6A" w:rsidP="00C84D6A">
            <w:pPr>
              <w:rPr>
                <w:rFonts w:ascii="Times New Roman" w:eastAsia="Calibri" w:hAnsi="Times New Roman" w:cs="Times New Roman"/>
                <w:lang w:val="sr-Cyrl-CS"/>
              </w:rPr>
            </w:pPr>
            <w:r w:rsidRPr="004831AB">
              <w:rPr>
                <w:rFonts w:ascii="Times New Roman" w:eastAsia="Calibri" w:hAnsi="Times New Roman" w:cs="Times New Roman"/>
                <w:lang w:val="sr-Cyrl-CS"/>
              </w:rPr>
              <w:t>3.320</w:t>
            </w:r>
            <w:r w:rsidR="002566A1"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220</w:t>
            </w:r>
            <w:r w:rsidR="002566A1" w:rsidRPr="004831AB">
              <w:rPr>
                <w:rFonts w:ascii="Times New Roman" w:eastAsia="Calibri" w:hAnsi="Times New Roman" w:cs="Times New Roman"/>
                <w:lang w:val="sr-Cyrl-CS"/>
              </w:rPr>
              <w:t xml:space="preserve"> кроз финансијску подршку а </w:t>
            </w:r>
            <w:r w:rsidRPr="004831AB">
              <w:rPr>
                <w:rFonts w:ascii="Times New Roman" w:eastAsia="Calibri" w:hAnsi="Times New Roman" w:cs="Times New Roman"/>
                <w:lang w:val="sr-Cyrl-CS"/>
              </w:rPr>
              <w:t>3.100</w:t>
            </w:r>
            <w:r w:rsidR="002566A1" w:rsidRPr="004831AB">
              <w:rPr>
                <w:rFonts w:ascii="Times New Roman" w:eastAsia="Calibri" w:hAnsi="Times New Roman" w:cs="Times New Roman"/>
                <w:lang w:val="sr-Cyrl-CS"/>
              </w:rPr>
              <w:t xml:space="preserve"> кроз нефинансијску подршку) (2027)</w:t>
            </w:r>
          </w:p>
        </w:tc>
      </w:tr>
      <w:tr w:rsidR="002566A1" w:rsidRPr="004831AB" w14:paraId="5F7914F5" w14:textId="77777777" w:rsidTr="002566A1">
        <w:tc>
          <w:tcPr>
            <w:tcW w:w="1547" w:type="dxa"/>
          </w:tcPr>
          <w:p w14:paraId="5083CD72" w14:textId="77777777" w:rsidR="006B473D" w:rsidRPr="004831AB" w:rsidRDefault="006B473D" w:rsidP="00B15D1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Опис</w:t>
            </w:r>
          </w:p>
        </w:tc>
        <w:tc>
          <w:tcPr>
            <w:tcW w:w="7803" w:type="dxa"/>
            <w:gridSpan w:val="4"/>
          </w:tcPr>
          <w:p w14:paraId="6B6D6999" w14:textId="436739D8" w:rsidR="006B473D" w:rsidRPr="004831AB" w:rsidRDefault="00044E8C" w:rsidP="00021C42">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О</w:t>
            </w:r>
            <w:r w:rsidR="006B473D" w:rsidRPr="004831AB">
              <w:rPr>
                <w:rFonts w:ascii="Times New Roman" w:eastAsia="Calibri" w:hAnsi="Times New Roman" w:cs="Times New Roman"/>
                <w:lang w:val="sr-Cyrl-CS"/>
              </w:rPr>
              <w:t xml:space="preserve">ва мера </w:t>
            </w:r>
            <w:r w:rsidR="005C75D8" w:rsidRPr="004831AB">
              <w:rPr>
                <w:rFonts w:ascii="Times New Roman" w:eastAsia="Calibri" w:hAnsi="Times New Roman" w:cs="Times New Roman"/>
                <w:lang w:val="sr-Cyrl-CS"/>
              </w:rPr>
              <w:t xml:space="preserve">има за циљ наставак </w:t>
            </w:r>
            <w:r w:rsidR="009B7D7B" w:rsidRPr="004831AB">
              <w:rPr>
                <w:rFonts w:ascii="Times New Roman" w:eastAsia="Calibri" w:hAnsi="Times New Roman" w:cs="Times New Roman"/>
                <w:lang w:val="sr-Cyrl-CS"/>
              </w:rPr>
              <w:t>спровођењ</w:t>
            </w:r>
            <w:r w:rsidR="005C75D8" w:rsidRPr="004831AB">
              <w:rPr>
                <w:rFonts w:ascii="Times New Roman" w:eastAsia="Calibri" w:hAnsi="Times New Roman" w:cs="Times New Roman"/>
                <w:lang w:val="sr-Cyrl-CS"/>
              </w:rPr>
              <w:t>а</w:t>
            </w:r>
            <w:r w:rsidR="009B7D7B" w:rsidRPr="004831AB">
              <w:rPr>
                <w:rFonts w:ascii="Times New Roman" w:eastAsia="Calibri" w:hAnsi="Times New Roman" w:cs="Times New Roman"/>
                <w:lang w:val="sr-Cyrl-CS"/>
              </w:rPr>
              <w:t xml:space="preserve"> и </w:t>
            </w:r>
            <w:r w:rsidR="006B473D" w:rsidRPr="004831AB">
              <w:rPr>
                <w:rFonts w:ascii="Times New Roman" w:eastAsia="Calibri" w:hAnsi="Times New Roman" w:cs="Times New Roman"/>
                <w:lang w:val="sr-Cyrl-CS"/>
              </w:rPr>
              <w:t>јачање финансијских и нефинансијских програма подстицаја за почетнике у пословању</w:t>
            </w:r>
            <w:r w:rsidRPr="004831AB">
              <w:rPr>
                <w:rFonts w:ascii="Times New Roman" w:eastAsia="Calibri" w:hAnsi="Times New Roman" w:cs="Times New Roman"/>
                <w:lang w:val="sr-Cyrl-CS"/>
              </w:rPr>
              <w:t xml:space="preserve"> кроз унапређење доступности и обима подршке.</w:t>
            </w:r>
            <w:r w:rsidR="005C75D8"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Мера обухвата </w:t>
            </w:r>
            <w:r w:rsidR="009B7D7B" w:rsidRPr="004831AB">
              <w:rPr>
                <w:rFonts w:ascii="Times New Roman" w:eastAsia="Calibri" w:hAnsi="Times New Roman" w:cs="Times New Roman"/>
                <w:lang w:val="sr-Cyrl-CS"/>
              </w:rPr>
              <w:t xml:space="preserve">и </w:t>
            </w:r>
            <w:r w:rsidR="006B473D" w:rsidRPr="004831AB">
              <w:rPr>
                <w:rFonts w:ascii="Times New Roman" w:eastAsia="Calibri" w:hAnsi="Times New Roman" w:cs="Times New Roman"/>
                <w:lang w:val="sr-Cyrl-CS"/>
              </w:rPr>
              <w:t>промотивне активности за подстицање</w:t>
            </w:r>
            <w:r w:rsidR="005C75D8" w:rsidRPr="004831AB">
              <w:rPr>
                <w:rFonts w:ascii="Times New Roman" w:eastAsia="Calibri" w:hAnsi="Times New Roman" w:cs="Times New Roman"/>
                <w:lang w:val="sr-Cyrl-CS"/>
              </w:rPr>
              <w:t xml:space="preserve"> предузетничког духа, афирмацију предузетништва као пожељне каријере и </w:t>
            </w:r>
            <w:r w:rsidRPr="004831AB">
              <w:rPr>
                <w:rFonts w:ascii="Times New Roman" w:eastAsia="Calibri" w:hAnsi="Times New Roman" w:cs="Times New Roman"/>
                <w:lang w:val="sr-Cyrl-CS"/>
              </w:rPr>
              <w:t xml:space="preserve">јачање свести о значају предузетништва за општи друштвени и економски </w:t>
            </w:r>
            <w:r w:rsidR="00FB6B5B" w:rsidRPr="004831AB">
              <w:rPr>
                <w:rFonts w:ascii="Times New Roman" w:eastAsia="Calibri" w:hAnsi="Times New Roman" w:cs="Times New Roman"/>
                <w:lang w:val="sr-Cyrl-CS"/>
              </w:rPr>
              <w:t>разво</w:t>
            </w:r>
            <w:r w:rsidR="005C75D8" w:rsidRPr="004831AB">
              <w:rPr>
                <w:rFonts w:ascii="Times New Roman" w:eastAsia="Calibri" w:hAnsi="Times New Roman" w:cs="Times New Roman"/>
                <w:lang w:val="sr-Cyrl-CS"/>
              </w:rPr>
              <w:t>ј, као и</w:t>
            </w:r>
            <w:r w:rsidR="0068357B" w:rsidRPr="004831AB">
              <w:rPr>
                <w:rFonts w:ascii="Times New Roman" w:eastAsia="Calibri" w:hAnsi="Times New Roman" w:cs="Times New Roman"/>
                <w:lang w:val="sr-Cyrl-CS"/>
              </w:rPr>
              <w:t xml:space="preserve"> </w:t>
            </w:r>
            <w:r w:rsidR="006B473D" w:rsidRPr="004831AB">
              <w:rPr>
                <w:rFonts w:ascii="Times New Roman" w:eastAsia="Calibri" w:hAnsi="Times New Roman" w:cs="Times New Roman"/>
                <w:lang w:val="sr-Cyrl-CS"/>
              </w:rPr>
              <w:t>даља унапређења портала „Предузетништво</w:t>
            </w:r>
            <w:r w:rsidR="007E5D5C" w:rsidRPr="004831AB">
              <w:rPr>
                <w:rFonts w:ascii="Times New Roman" w:eastAsia="Calibri" w:hAnsi="Times New Roman" w:cs="Times New Roman"/>
                <w:lang w:val="sr-Cyrl-CS"/>
              </w:rPr>
              <w:t>”</w:t>
            </w:r>
            <w:r w:rsidR="005C75D8" w:rsidRPr="004831AB">
              <w:rPr>
                <w:rFonts w:ascii="Times New Roman" w:eastAsia="Calibri" w:hAnsi="Times New Roman" w:cs="Times New Roman"/>
                <w:lang w:val="sr-Cyrl-CS"/>
              </w:rPr>
              <w:t>,</w:t>
            </w:r>
            <w:r w:rsidR="00FB6B5B" w:rsidRPr="004831AB">
              <w:rPr>
                <w:rFonts w:ascii="Times New Roman" w:eastAsia="Calibri" w:hAnsi="Times New Roman" w:cs="Times New Roman"/>
                <w:lang w:val="sr-Cyrl-CS"/>
              </w:rPr>
              <w:t xml:space="preserve"> </w:t>
            </w:r>
            <w:r w:rsidR="005C75D8" w:rsidRPr="004831AB">
              <w:rPr>
                <w:rFonts w:ascii="Times New Roman" w:eastAsia="Calibri" w:hAnsi="Times New Roman" w:cs="Times New Roman"/>
                <w:lang w:val="sr-Cyrl-CS"/>
              </w:rPr>
              <w:t xml:space="preserve">као централне националне платформе за </w:t>
            </w:r>
            <w:r w:rsidR="00FB6B5B" w:rsidRPr="004831AB">
              <w:rPr>
                <w:rFonts w:ascii="Times New Roman" w:eastAsia="Calibri" w:hAnsi="Times New Roman" w:cs="Times New Roman"/>
                <w:lang w:val="sr-Cyrl-CS"/>
              </w:rPr>
              <w:t xml:space="preserve"> правовремено и квалитетно информисања сектора МСПП</w:t>
            </w:r>
            <w:r w:rsidR="005C75D8" w:rsidRPr="004831AB">
              <w:rPr>
                <w:rFonts w:ascii="Times New Roman" w:eastAsia="Calibri" w:hAnsi="Times New Roman" w:cs="Times New Roman"/>
                <w:lang w:val="sr-Cyrl-CS"/>
              </w:rPr>
              <w:t xml:space="preserve"> о свим аспектима битним за њихово пословање, укључујући и расположиве видове подршке.</w:t>
            </w:r>
            <w:r w:rsidR="006B473D" w:rsidRPr="004831AB">
              <w:rPr>
                <w:rFonts w:ascii="Times New Roman" w:eastAsia="Calibri" w:hAnsi="Times New Roman" w:cs="Times New Roman"/>
                <w:lang w:val="sr-Cyrl-CS"/>
              </w:rPr>
              <w:t xml:space="preserve"> </w:t>
            </w:r>
            <w:r w:rsidR="00160A70" w:rsidRPr="004831AB">
              <w:rPr>
                <w:rFonts w:ascii="Times New Roman" w:eastAsia="Calibri" w:hAnsi="Times New Roman" w:cs="Times New Roman"/>
                <w:lang w:val="sr-Cyrl-CS"/>
              </w:rPr>
              <w:t xml:space="preserve">Имајући у виду да је Стратегијом развоја стартап екосистема Републике Србије за период од 2021. до 2025. године обухваћена подршка стартап заједници, ова мера се спроводи као комплементарна и таргетира остале почетнике </w:t>
            </w:r>
            <w:r w:rsidR="00160A70" w:rsidRPr="004831AB">
              <w:rPr>
                <w:rFonts w:ascii="Times New Roman" w:eastAsia="Calibri" w:hAnsi="Times New Roman" w:cs="Times New Roman"/>
                <w:bCs/>
                <w:lang w:val="sr-Cyrl-CS"/>
              </w:rPr>
              <w:t>у бизнису</w:t>
            </w:r>
            <w:r w:rsidR="00160A70" w:rsidRPr="004831AB">
              <w:rPr>
                <w:rFonts w:ascii="Times New Roman" w:eastAsia="Calibri" w:hAnsi="Times New Roman" w:cs="Times New Roman"/>
                <w:lang w:val="sr-Cyrl-CS"/>
              </w:rPr>
              <w:t xml:space="preserve">.  </w:t>
            </w:r>
          </w:p>
        </w:tc>
      </w:tr>
      <w:tr w:rsidR="002566A1" w:rsidRPr="004831AB" w14:paraId="1187B769" w14:textId="77777777" w:rsidTr="002566A1">
        <w:tc>
          <w:tcPr>
            <w:tcW w:w="1547" w:type="dxa"/>
          </w:tcPr>
          <w:p w14:paraId="4325D6F1" w14:textId="77777777" w:rsidR="006B473D" w:rsidRPr="004831AB" w:rsidRDefault="006B473D" w:rsidP="00B15D10">
            <w:pPr>
              <w:spacing w:after="160" w:line="259" w:lineRule="auto"/>
              <w:rPr>
                <w:rFonts w:ascii="Times New Roman" w:eastAsia="Calibri" w:hAnsi="Times New Roman" w:cs="Times New Roman"/>
                <w:bCs/>
                <w:lang w:val="sr-Cyrl-CS"/>
              </w:rPr>
            </w:pPr>
            <w:r w:rsidRPr="004831AB">
              <w:rPr>
                <w:rFonts w:ascii="Times New Roman" w:eastAsia="Calibri" w:hAnsi="Times New Roman" w:cs="Times New Roman"/>
                <w:bCs/>
                <w:lang w:val="sr-Cyrl-CS"/>
              </w:rPr>
              <w:t>Ефекти мере</w:t>
            </w:r>
          </w:p>
        </w:tc>
        <w:tc>
          <w:tcPr>
            <w:tcW w:w="7803" w:type="dxa"/>
            <w:gridSpan w:val="4"/>
          </w:tcPr>
          <w:p w14:paraId="1DB3B086" w14:textId="1A24D78B" w:rsidR="006B473D" w:rsidRPr="004831AB" w:rsidRDefault="006B473D" w:rsidP="00D11062">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Реализациј</w:t>
            </w:r>
            <w:r w:rsidR="00FB6B5B" w:rsidRPr="004831AB">
              <w:rPr>
                <w:rFonts w:ascii="Times New Roman" w:eastAsia="Calibri" w:hAnsi="Times New Roman" w:cs="Times New Roman"/>
                <w:lang w:val="sr-Cyrl-CS"/>
              </w:rPr>
              <w:t>а</w:t>
            </w:r>
            <w:r w:rsidR="00B126A1"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ове </w:t>
            </w:r>
            <w:r w:rsidR="00B126A1" w:rsidRPr="004831AB">
              <w:rPr>
                <w:rFonts w:ascii="Times New Roman" w:eastAsia="Calibri" w:hAnsi="Times New Roman" w:cs="Times New Roman"/>
                <w:lang w:val="sr-Cyrl-CS"/>
              </w:rPr>
              <w:t xml:space="preserve">мере </w:t>
            </w:r>
            <w:r w:rsidR="003850EE" w:rsidRPr="004831AB">
              <w:rPr>
                <w:rFonts w:ascii="Times New Roman" w:eastAsia="Calibri" w:hAnsi="Times New Roman" w:cs="Times New Roman"/>
                <w:lang w:val="sr-Cyrl-CS"/>
              </w:rPr>
              <w:t>допринеће већем интересовању за покретање нових МСПП, оснаживању будућих предузетника и омогућавању р</w:t>
            </w:r>
            <w:r w:rsidR="004831AB">
              <w:rPr>
                <w:rFonts w:ascii="Times New Roman" w:eastAsia="Calibri" w:hAnsi="Times New Roman" w:cs="Times New Roman"/>
                <w:lang w:val="sr-Cyrl-CS"/>
              </w:rPr>
              <w:t>е</w:t>
            </w:r>
            <w:r w:rsidR="003850EE" w:rsidRPr="004831AB">
              <w:rPr>
                <w:rFonts w:ascii="Times New Roman" w:eastAsia="Calibri" w:hAnsi="Times New Roman" w:cs="Times New Roman"/>
                <w:lang w:val="sr-Cyrl-CS"/>
              </w:rPr>
              <w:t xml:space="preserve">ализацији нових пословних подухвата, чији покретачи немају довољно сопствених средстава, а због непостојања пословне историје не могу да их самостално обезбеде кроз кредите пословних банака. Мера ће допринети и развоју предузетничког духа и културе у друштву и бољој информисаности МСПП. </w:t>
            </w:r>
          </w:p>
        </w:tc>
      </w:tr>
    </w:tbl>
    <w:p w14:paraId="1E93E980" w14:textId="77777777" w:rsidR="00CE622E" w:rsidRPr="004831AB" w:rsidRDefault="00CE622E" w:rsidP="006B473D">
      <w:pPr>
        <w:pStyle w:val="Heading3"/>
        <w:spacing w:before="240"/>
        <w:rPr>
          <w:rFonts w:eastAsia="Times New Roman"/>
          <w:bCs/>
          <w:lang w:val="sr-Cyrl-CS"/>
        </w:rPr>
      </w:pPr>
      <w:r w:rsidRPr="004831AB">
        <w:rPr>
          <w:rFonts w:eastAsia="Times New Roman"/>
          <w:bCs/>
          <w:lang w:val="sr-Cyrl-CS"/>
        </w:rPr>
        <w:t>Мера 4.</w:t>
      </w:r>
      <w:r w:rsidR="00160A70" w:rsidRPr="004831AB">
        <w:rPr>
          <w:rFonts w:eastAsia="Times New Roman"/>
          <w:bCs/>
          <w:lang w:val="sr-Cyrl-CS"/>
        </w:rPr>
        <w:t>2</w:t>
      </w:r>
      <w:r w:rsidRPr="004831AB">
        <w:rPr>
          <w:rFonts w:eastAsia="Times New Roman"/>
          <w:bCs/>
          <w:lang w:val="sr-Cyrl-CS"/>
        </w:rPr>
        <w:t xml:space="preserve">. </w:t>
      </w:r>
      <w:r w:rsidR="002E4F26" w:rsidRPr="004831AB">
        <w:rPr>
          <w:rFonts w:eastAsia="Times New Roman"/>
          <w:bCs/>
          <w:lang w:val="sr-Cyrl-CS"/>
        </w:rPr>
        <w:t xml:space="preserve">Интензивирање подршке </w:t>
      </w:r>
      <w:r w:rsidR="00A26D5F" w:rsidRPr="004831AB">
        <w:rPr>
          <w:rFonts w:eastAsia="Times New Roman"/>
          <w:bCs/>
          <w:lang w:val="sr-Cyrl-CS"/>
        </w:rPr>
        <w:t>већој инклузивности развоја МСП</w:t>
      </w:r>
      <w:r w:rsidR="006B473D" w:rsidRPr="004831AB">
        <w:rPr>
          <w:rFonts w:eastAsia="Times New Roman"/>
          <w:bCs/>
          <w:lang w:val="sr-Cyrl-CS"/>
        </w:rPr>
        <w:t>П</w:t>
      </w:r>
    </w:p>
    <w:tbl>
      <w:tblPr>
        <w:tblStyle w:val="TableGrid"/>
        <w:tblW w:w="0" w:type="auto"/>
        <w:tblLook w:val="04A0" w:firstRow="1" w:lastRow="0" w:firstColumn="1" w:lastColumn="0" w:noHBand="0" w:noVBand="1"/>
      </w:tblPr>
      <w:tblGrid>
        <w:gridCol w:w="1519"/>
        <w:gridCol w:w="2828"/>
        <w:gridCol w:w="1599"/>
        <w:gridCol w:w="85"/>
        <w:gridCol w:w="1616"/>
        <w:gridCol w:w="1975"/>
      </w:tblGrid>
      <w:tr w:rsidR="002566A1" w:rsidRPr="004831AB" w14:paraId="65AD029B" w14:textId="77777777" w:rsidTr="001F3BDC">
        <w:tc>
          <w:tcPr>
            <w:tcW w:w="1526" w:type="dxa"/>
          </w:tcPr>
          <w:p w14:paraId="2B718960" w14:textId="77777777" w:rsidR="002566A1" w:rsidRPr="004831AB" w:rsidRDefault="002566A1" w:rsidP="002566A1">
            <w:pPr>
              <w:rPr>
                <w:rFonts w:ascii="Times New Roman" w:eastAsia="Calibri" w:hAnsi="Times New Roman" w:cs="Times New Roman"/>
                <w:bCs/>
                <w:lang w:val="sr-Cyrl-CS"/>
              </w:rPr>
            </w:pPr>
            <w:r w:rsidRPr="004831AB">
              <w:rPr>
                <w:rFonts w:ascii="Times New Roman" w:eastAsia="Calibri" w:hAnsi="Times New Roman" w:cs="Times New Roman"/>
                <w:bCs/>
                <w:lang w:val="sr-Cyrl-CS"/>
              </w:rPr>
              <w:t>Врста мере</w:t>
            </w:r>
          </w:p>
        </w:tc>
        <w:tc>
          <w:tcPr>
            <w:tcW w:w="4139" w:type="dxa"/>
            <w:gridSpan w:val="2"/>
          </w:tcPr>
          <w:p w14:paraId="3DAFF25B"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Подстицајна</w:t>
            </w:r>
          </w:p>
        </w:tc>
        <w:tc>
          <w:tcPr>
            <w:tcW w:w="1696" w:type="dxa"/>
            <w:gridSpan w:val="2"/>
          </w:tcPr>
          <w:p w14:paraId="21F155AB"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Трајање мере:</w:t>
            </w:r>
          </w:p>
        </w:tc>
        <w:tc>
          <w:tcPr>
            <w:tcW w:w="1989" w:type="dxa"/>
          </w:tcPr>
          <w:p w14:paraId="427034F9" w14:textId="77777777" w:rsidR="002566A1" w:rsidRPr="004831AB" w:rsidRDefault="002566A1" w:rsidP="002566A1">
            <w:pPr>
              <w:rPr>
                <w:rFonts w:ascii="Times New Roman" w:eastAsia="Calibri" w:hAnsi="Times New Roman" w:cs="Times New Roman"/>
                <w:lang w:val="sr-Cyrl-CS"/>
              </w:rPr>
            </w:pPr>
            <w:r w:rsidRPr="004831AB">
              <w:rPr>
                <w:rFonts w:ascii="Times New Roman" w:eastAsia="Calibri" w:hAnsi="Times New Roman" w:cs="Times New Roman"/>
                <w:lang w:val="sr-Cyrl-CS"/>
              </w:rPr>
              <w:t>2023 – 2027. године</w:t>
            </w:r>
          </w:p>
        </w:tc>
      </w:tr>
      <w:tr w:rsidR="002566A1" w:rsidRPr="004831AB" w14:paraId="322E1593" w14:textId="77777777" w:rsidTr="002566A1">
        <w:tc>
          <w:tcPr>
            <w:tcW w:w="1526" w:type="dxa"/>
          </w:tcPr>
          <w:p w14:paraId="3949DF75"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Индикатори</w:t>
            </w:r>
          </w:p>
        </w:tc>
        <w:tc>
          <w:tcPr>
            <w:tcW w:w="2876" w:type="dxa"/>
          </w:tcPr>
          <w:p w14:paraId="620E5B9A"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Назив</w:t>
            </w:r>
          </w:p>
        </w:tc>
        <w:tc>
          <w:tcPr>
            <w:tcW w:w="1343" w:type="dxa"/>
            <w:gridSpan w:val="2"/>
          </w:tcPr>
          <w:p w14:paraId="5BDD0374"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Извор провере</w:t>
            </w:r>
          </w:p>
        </w:tc>
        <w:tc>
          <w:tcPr>
            <w:tcW w:w="1616" w:type="dxa"/>
          </w:tcPr>
          <w:p w14:paraId="48DA512E"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Почетно стање</w:t>
            </w:r>
          </w:p>
        </w:tc>
        <w:tc>
          <w:tcPr>
            <w:tcW w:w="1989" w:type="dxa"/>
          </w:tcPr>
          <w:p w14:paraId="7A693BF5"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Циљана вредност</w:t>
            </w:r>
          </w:p>
        </w:tc>
      </w:tr>
      <w:tr w:rsidR="002566A1" w:rsidRPr="004831AB" w14:paraId="308075FB" w14:textId="77777777" w:rsidTr="002566A1">
        <w:tc>
          <w:tcPr>
            <w:tcW w:w="1526" w:type="dxa"/>
          </w:tcPr>
          <w:p w14:paraId="2CFE6DB6" w14:textId="77777777" w:rsidR="001D2F80" w:rsidRPr="004831AB" w:rsidRDefault="001D2F80" w:rsidP="001D2F80">
            <w:pPr>
              <w:rPr>
                <w:rFonts w:ascii="Times New Roman" w:eastAsia="Calibri" w:hAnsi="Times New Roman" w:cs="Times New Roman"/>
                <w:bCs/>
                <w:lang w:val="sr-Cyrl-CS"/>
              </w:rPr>
            </w:pPr>
            <w:r w:rsidRPr="004831AB">
              <w:rPr>
                <w:rFonts w:ascii="Times New Roman" w:eastAsia="Calibri" w:hAnsi="Times New Roman" w:cs="Times New Roman"/>
                <w:bCs/>
                <w:lang w:val="sr-Cyrl-CS"/>
              </w:rPr>
              <w:t>1.</w:t>
            </w:r>
          </w:p>
        </w:tc>
        <w:tc>
          <w:tcPr>
            <w:tcW w:w="2876" w:type="dxa"/>
          </w:tcPr>
          <w:p w14:paraId="37C3B9A2" w14:textId="77777777" w:rsidR="001D2F80" w:rsidRPr="004831AB" w:rsidRDefault="001D2F80" w:rsidP="001D2F80">
            <w:pPr>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Број подржаних жена предузетника и младих који су добили финансијску и нефинансијску подршку </w:t>
            </w:r>
          </w:p>
        </w:tc>
        <w:tc>
          <w:tcPr>
            <w:tcW w:w="1343" w:type="dxa"/>
            <w:gridSpan w:val="2"/>
          </w:tcPr>
          <w:p w14:paraId="6AB53F82" w14:textId="77777777" w:rsidR="00CA26F3" w:rsidRPr="004831AB" w:rsidRDefault="001D2F80" w:rsidP="001D2F80">
            <w:pPr>
              <w:rPr>
                <w:rFonts w:ascii="Times New Roman" w:eastAsia="Calibri" w:hAnsi="Times New Roman" w:cs="Times New Roman"/>
                <w:color w:val="000000"/>
                <w:sz w:val="24"/>
                <w:szCs w:val="24"/>
                <w:bdr w:val="none" w:sz="0" w:space="0" w:color="auto" w:frame="1"/>
                <w:lang w:val="sr-Cyrl-CS"/>
              </w:rPr>
            </w:pPr>
            <w:r w:rsidRPr="004831AB">
              <w:rPr>
                <w:rFonts w:ascii="Times New Roman" w:eastAsia="Calibri" w:hAnsi="Times New Roman" w:cs="Times New Roman"/>
                <w:color w:val="000000"/>
                <w:sz w:val="24"/>
                <w:szCs w:val="24"/>
                <w:bdr w:val="none" w:sz="0" w:space="0" w:color="auto" w:frame="1"/>
                <w:lang w:val="sr-Cyrl-CS"/>
              </w:rPr>
              <w:t xml:space="preserve">Извештај </w:t>
            </w:r>
            <w:r w:rsidR="00CA26F3" w:rsidRPr="004831AB">
              <w:rPr>
                <w:rFonts w:ascii="Times New Roman" w:eastAsia="Calibri" w:hAnsi="Times New Roman" w:cs="Times New Roman"/>
                <w:color w:val="000000"/>
                <w:sz w:val="24"/>
                <w:szCs w:val="24"/>
                <w:bdr w:val="none" w:sz="0" w:space="0" w:color="auto" w:frame="1"/>
                <w:lang w:val="sr-Cyrl-CS"/>
              </w:rPr>
              <w:t>Министарства</w:t>
            </w:r>
          </w:p>
          <w:p w14:paraId="46525F41" w14:textId="77777777" w:rsidR="001D2F80" w:rsidRPr="004831AB" w:rsidRDefault="00CA26F3" w:rsidP="001D2F80">
            <w:pPr>
              <w:rPr>
                <w:rFonts w:ascii="Times New Roman" w:eastAsia="Calibri" w:hAnsi="Times New Roman" w:cs="Times New Roman"/>
                <w:color w:val="000000"/>
                <w:sz w:val="20"/>
                <w:szCs w:val="20"/>
                <w:bdr w:val="none" w:sz="0" w:space="0" w:color="auto" w:frame="1"/>
                <w:lang w:val="sr-Cyrl-CS"/>
              </w:rPr>
            </w:pPr>
            <w:r w:rsidRPr="004831AB">
              <w:rPr>
                <w:rFonts w:ascii="Times New Roman" w:eastAsia="Calibri" w:hAnsi="Times New Roman" w:cs="Times New Roman"/>
                <w:color w:val="000000"/>
                <w:sz w:val="24"/>
                <w:szCs w:val="24"/>
                <w:bdr w:val="none" w:sz="0" w:space="0" w:color="auto" w:frame="1"/>
                <w:lang w:val="sr-Cyrl-CS"/>
              </w:rPr>
              <w:t>привреде</w:t>
            </w:r>
          </w:p>
        </w:tc>
        <w:tc>
          <w:tcPr>
            <w:tcW w:w="1616" w:type="dxa"/>
          </w:tcPr>
          <w:p w14:paraId="611D1235" w14:textId="1A12A139" w:rsidR="001D2F80" w:rsidRPr="004831AB" w:rsidRDefault="002566A1" w:rsidP="00C84D6A">
            <w:pPr>
              <w:rPr>
                <w:rFonts w:ascii="Times New Roman" w:eastAsia="Calibri" w:hAnsi="Times New Roman" w:cs="Times New Roman"/>
                <w:color w:val="000000"/>
                <w:sz w:val="20"/>
                <w:szCs w:val="20"/>
                <w:bdr w:val="none" w:sz="0" w:space="0" w:color="auto" w:frame="1"/>
                <w:lang w:val="sr-Cyrl-CS"/>
              </w:rPr>
            </w:pPr>
            <w:r w:rsidRPr="004831AB">
              <w:rPr>
                <w:rFonts w:ascii="Times New Roman" w:eastAsia="Calibri" w:hAnsi="Times New Roman" w:cs="Times New Roman"/>
                <w:lang w:val="sr-Cyrl-CS"/>
              </w:rPr>
              <w:t>2</w:t>
            </w:r>
            <w:r w:rsidR="00C84D6A" w:rsidRPr="004831AB">
              <w:rPr>
                <w:rFonts w:ascii="Times New Roman" w:eastAsia="Calibri" w:hAnsi="Times New Roman" w:cs="Times New Roman"/>
                <w:lang w:val="sr-Cyrl-CS"/>
              </w:rPr>
              <w:t>570</w:t>
            </w:r>
            <w:r w:rsidRPr="004831AB">
              <w:rPr>
                <w:rFonts w:ascii="Times New Roman" w:eastAsia="Calibri" w:hAnsi="Times New Roman" w:cs="Times New Roman"/>
                <w:lang w:val="sr-Cyrl-CS"/>
              </w:rPr>
              <w:t xml:space="preserve"> (100 кроз финансијску подршку, а 2</w:t>
            </w:r>
            <w:r w:rsidR="00C84D6A" w:rsidRPr="004831AB">
              <w:rPr>
                <w:rFonts w:ascii="Times New Roman" w:eastAsia="Calibri" w:hAnsi="Times New Roman" w:cs="Times New Roman"/>
                <w:lang w:val="sr-Cyrl-CS"/>
              </w:rPr>
              <w:t>470</w:t>
            </w:r>
            <w:r w:rsidRPr="004831AB">
              <w:rPr>
                <w:rFonts w:ascii="Times New Roman" w:eastAsia="Calibri" w:hAnsi="Times New Roman" w:cs="Times New Roman"/>
                <w:lang w:val="sr-Cyrl-CS"/>
              </w:rPr>
              <w:t xml:space="preserve"> кроз нефинансијску подршку) (2021)  </w:t>
            </w:r>
          </w:p>
        </w:tc>
        <w:tc>
          <w:tcPr>
            <w:tcW w:w="1989" w:type="dxa"/>
          </w:tcPr>
          <w:p w14:paraId="3350740A" w14:textId="70430A66" w:rsidR="001D2F80" w:rsidRPr="004831AB" w:rsidRDefault="002566A1" w:rsidP="0088323C">
            <w:pPr>
              <w:rPr>
                <w:rFonts w:ascii="Times New Roman" w:eastAsia="Calibri" w:hAnsi="Times New Roman" w:cs="Times New Roman"/>
                <w:color w:val="000000"/>
                <w:sz w:val="20"/>
                <w:szCs w:val="20"/>
                <w:bdr w:val="none" w:sz="0" w:space="0" w:color="auto" w:frame="1"/>
                <w:lang w:val="sr-Cyrl-CS"/>
              </w:rPr>
            </w:pPr>
            <w:r w:rsidRPr="004831AB">
              <w:rPr>
                <w:rFonts w:ascii="Times New Roman" w:eastAsia="Calibri" w:hAnsi="Times New Roman" w:cs="Times New Roman"/>
                <w:lang w:val="sr-Cyrl-CS"/>
              </w:rPr>
              <w:t>3</w:t>
            </w:r>
            <w:r w:rsidR="0088323C" w:rsidRPr="004831AB">
              <w:rPr>
                <w:rFonts w:ascii="Times New Roman" w:eastAsia="Calibri" w:hAnsi="Times New Roman" w:cs="Times New Roman"/>
                <w:lang w:val="sr-Cyrl-CS"/>
              </w:rPr>
              <w:t>935</w:t>
            </w:r>
            <w:r w:rsidRPr="004831AB">
              <w:rPr>
                <w:rFonts w:ascii="Times New Roman" w:eastAsia="Calibri" w:hAnsi="Times New Roman" w:cs="Times New Roman"/>
                <w:lang w:val="sr-Cyrl-CS"/>
              </w:rPr>
              <w:t xml:space="preserve"> (</w:t>
            </w:r>
            <w:r w:rsidR="00C84D6A" w:rsidRPr="004831AB">
              <w:rPr>
                <w:rFonts w:ascii="Times New Roman" w:eastAsia="Calibri" w:hAnsi="Times New Roman" w:cs="Times New Roman"/>
                <w:lang w:val="sr-Cyrl-CS"/>
              </w:rPr>
              <w:t>4</w:t>
            </w:r>
            <w:r w:rsidR="009B7D7B" w:rsidRPr="004831AB">
              <w:rPr>
                <w:rFonts w:ascii="Times New Roman" w:eastAsia="Calibri" w:hAnsi="Times New Roman" w:cs="Times New Roman"/>
                <w:lang w:val="sr-Cyrl-CS"/>
              </w:rPr>
              <w:t>3</w:t>
            </w:r>
            <w:r w:rsidR="00C84D6A" w:rsidRPr="004831AB">
              <w:rPr>
                <w:rFonts w:ascii="Times New Roman" w:eastAsia="Calibri" w:hAnsi="Times New Roman" w:cs="Times New Roman"/>
                <w:lang w:val="sr-Cyrl-CS"/>
              </w:rPr>
              <w:t>5</w:t>
            </w:r>
            <w:r w:rsidR="009B7D7B" w:rsidRPr="004831AB">
              <w:rPr>
                <w:rFonts w:ascii="Times New Roman" w:eastAsia="Calibri" w:hAnsi="Times New Roman" w:cs="Times New Roman"/>
                <w:lang w:val="sr-Cyrl-CS"/>
              </w:rPr>
              <w:t xml:space="preserve"> </w:t>
            </w:r>
            <w:r w:rsidRPr="004831AB">
              <w:rPr>
                <w:rFonts w:ascii="Times New Roman" w:eastAsia="Calibri" w:hAnsi="Times New Roman" w:cs="Times New Roman"/>
                <w:lang w:val="sr-Cyrl-CS"/>
              </w:rPr>
              <w:t xml:space="preserve">кроз финансијску подршку, а </w:t>
            </w:r>
            <w:r w:rsidR="00C84D6A" w:rsidRPr="004831AB">
              <w:rPr>
                <w:rFonts w:ascii="Times New Roman" w:eastAsia="Calibri" w:hAnsi="Times New Roman" w:cs="Times New Roman"/>
                <w:lang w:val="sr-Cyrl-CS"/>
              </w:rPr>
              <w:t xml:space="preserve">3500 </w:t>
            </w:r>
            <w:r w:rsidR="0088323C" w:rsidRPr="004831AB">
              <w:rPr>
                <w:rFonts w:ascii="Times New Roman" w:eastAsia="Calibri" w:hAnsi="Times New Roman" w:cs="Times New Roman"/>
                <w:lang w:val="sr-Cyrl-CS"/>
              </w:rPr>
              <w:t>к</w:t>
            </w:r>
            <w:r w:rsidRPr="004831AB">
              <w:rPr>
                <w:rFonts w:ascii="Times New Roman" w:eastAsia="Calibri" w:hAnsi="Times New Roman" w:cs="Times New Roman"/>
                <w:lang w:val="sr-Cyrl-CS"/>
              </w:rPr>
              <w:t>роз нефинансијску подршку) (2027)</w:t>
            </w:r>
          </w:p>
        </w:tc>
      </w:tr>
      <w:tr w:rsidR="00CE622E" w:rsidRPr="004831AB" w14:paraId="77A1E2AF" w14:textId="77777777" w:rsidTr="002566A1">
        <w:tc>
          <w:tcPr>
            <w:tcW w:w="1526" w:type="dxa"/>
          </w:tcPr>
          <w:p w14:paraId="4B3AE990"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t>Опис</w:t>
            </w:r>
          </w:p>
        </w:tc>
        <w:tc>
          <w:tcPr>
            <w:tcW w:w="7824" w:type="dxa"/>
            <w:gridSpan w:val="5"/>
          </w:tcPr>
          <w:p w14:paraId="2E1F08D0" w14:textId="2C7536FB" w:rsidR="00B1230D" w:rsidRPr="004831AB" w:rsidRDefault="00B1230D" w:rsidP="00021C42">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 xml:space="preserve">Ова мера за циљ има </w:t>
            </w:r>
            <w:r w:rsidR="0073793E" w:rsidRPr="004831AB">
              <w:rPr>
                <w:rFonts w:ascii="Times New Roman" w:eastAsia="Calibri" w:hAnsi="Times New Roman" w:cs="Times New Roman"/>
                <w:lang w:val="sr-Cyrl-CS"/>
              </w:rPr>
              <w:t xml:space="preserve">додатну подршку за развој предузетништва специфичних циљних група, као што су </w:t>
            </w:r>
            <w:r w:rsidRPr="004831AB">
              <w:rPr>
                <w:rFonts w:ascii="Times New Roman" w:eastAsia="Calibri" w:hAnsi="Times New Roman" w:cs="Times New Roman"/>
                <w:lang w:val="sr-Cyrl-CS"/>
              </w:rPr>
              <w:t>жен</w:t>
            </w:r>
            <w:r w:rsidR="0073793E" w:rsidRPr="004831AB">
              <w:rPr>
                <w:rFonts w:ascii="Times New Roman" w:eastAsia="Calibri" w:hAnsi="Times New Roman" w:cs="Times New Roman"/>
                <w:lang w:val="sr-Cyrl-CS"/>
              </w:rPr>
              <w:t>е</w:t>
            </w:r>
            <w:r w:rsidRPr="004831AB">
              <w:rPr>
                <w:rFonts w:ascii="Times New Roman" w:eastAsia="Calibri" w:hAnsi="Times New Roman" w:cs="Times New Roman"/>
                <w:lang w:val="sr-Cyrl-CS"/>
              </w:rPr>
              <w:t xml:space="preserve"> предузетни</w:t>
            </w:r>
            <w:r w:rsidR="00402CA3" w:rsidRPr="004831AB">
              <w:rPr>
                <w:rFonts w:ascii="Times New Roman" w:eastAsia="Calibri" w:hAnsi="Times New Roman" w:cs="Times New Roman"/>
                <w:lang w:val="sr-Cyrl-CS"/>
              </w:rPr>
              <w:t>ци</w:t>
            </w:r>
            <w:r w:rsidR="0073793E" w:rsidRPr="004831AB">
              <w:rPr>
                <w:rFonts w:ascii="Times New Roman" w:eastAsia="Calibri" w:hAnsi="Times New Roman" w:cs="Times New Roman"/>
                <w:lang w:val="sr-Cyrl-CS"/>
              </w:rPr>
              <w:t>, млади, припадници других осетљивих група, МСПП која послују у неразвијеним подручјима</w:t>
            </w:r>
            <w:r w:rsidR="00402CA3" w:rsidRPr="004831AB">
              <w:rPr>
                <w:rFonts w:ascii="Times New Roman" w:eastAsia="Calibri" w:hAnsi="Times New Roman" w:cs="Times New Roman"/>
                <w:lang w:val="sr-Cyrl-CS"/>
              </w:rPr>
              <w:t>,</w:t>
            </w:r>
            <w:r w:rsidR="0073793E" w:rsidRPr="004831AB">
              <w:rPr>
                <w:rFonts w:ascii="Times New Roman" w:eastAsia="Calibri" w:hAnsi="Times New Roman" w:cs="Times New Roman"/>
                <w:lang w:val="sr-Cyrl-CS"/>
              </w:rPr>
              <w:t xml:space="preserve"> као и развој социјалног предузетништва</w:t>
            </w:r>
            <w:r w:rsidR="002071FD" w:rsidRPr="004831AB">
              <w:rPr>
                <w:rFonts w:ascii="Times New Roman" w:eastAsia="Calibri" w:hAnsi="Times New Roman" w:cs="Times New Roman"/>
                <w:lang w:val="sr-Cyrl-CS"/>
              </w:rPr>
              <w:t>, у складу са њиховим потребама.</w:t>
            </w:r>
            <w:r w:rsidR="0073793E" w:rsidRPr="004831AB">
              <w:rPr>
                <w:rFonts w:ascii="Times New Roman" w:eastAsia="Calibri" w:hAnsi="Times New Roman" w:cs="Times New Roman"/>
                <w:lang w:val="sr-Cyrl-CS"/>
              </w:rPr>
              <w:t xml:space="preserve"> </w:t>
            </w:r>
            <w:r w:rsidR="006C5AC6" w:rsidRPr="004831AB">
              <w:rPr>
                <w:rFonts w:ascii="Times New Roman" w:eastAsia="Calibri" w:hAnsi="Times New Roman" w:cs="Times New Roman"/>
                <w:lang w:val="sr-Cyrl-CS"/>
              </w:rPr>
              <w:t>Овом мером</w:t>
            </w:r>
            <w:r w:rsidR="00FB6B5B" w:rsidRPr="004831AB">
              <w:rPr>
                <w:rFonts w:ascii="Times New Roman" w:eastAsia="Calibri" w:hAnsi="Times New Roman" w:cs="Times New Roman"/>
                <w:lang w:val="sr-Cyrl-CS"/>
              </w:rPr>
              <w:t xml:space="preserve"> је</w:t>
            </w:r>
            <w:r w:rsidR="0073793E" w:rsidRPr="004831AB">
              <w:rPr>
                <w:rFonts w:ascii="Times New Roman" w:eastAsia="Calibri" w:hAnsi="Times New Roman" w:cs="Times New Roman"/>
                <w:lang w:val="sr-Cyrl-CS"/>
              </w:rPr>
              <w:t xml:space="preserve"> </w:t>
            </w:r>
            <w:r w:rsidR="00FB6B5B" w:rsidRPr="004831AB">
              <w:rPr>
                <w:rFonts w:ascii="Times New Roman" w:eastAsia="Calibri" w:hAnsi="Times New Roman" w:cs="Times New Roman"/>
                <w:lang w:val="sr-Cyrl-CS"/>
              </w:rPr>
              <w:t>предвиђено унапређење доступности и обима финансијске подршке за жене предузетни</w:t>
            </w:r>
            <w:r w:rsidR="006C5AC6" w:rsidRPr="004831AB">
              <w:rPr>
                <w:rFonts w:ascii="Times New Roman" w:eastAsia="Calibri" w:hAnsi="Times New Roman" w:cs="Times New Roman"/>
                <w:lang w:val="sr-Cyrl-CS"/>
              </w:rPr>
              <w:t>ке,</w:t>
            </w:r>
            <w:r w:rsidR="00FB6B5B" w:rsidRPr="004831AB">
              <w:rPr>
                <w:rFonts w:ascii="Times New Roman" w:eastAsia="Calibri" w:hAnsi="Times New Roman" w:cs="Times New Roman"/>
                <w:lang w:val="sr-Cyrl-CS"/>
              </w:rPr>
              <w:t xml:space="preserve"> </w:t>
            </w:r>
            <w:r w:rsidR="0073793E" w:rsidRPr="004831AB">
              <w:rPr>
                <w:rFonts w:ascii="Times New Roman" w:eastAsia="Calibri" w:hAnsi="Times New Roman" w:cs="Times New Roman"/>
                <w:lang w:val="sr-Cyrl-CS"/>
              </w:rPr>
              <w:t xml:space="preserve"> као и </w:t>
            </w:r>
            <w:r w:rsidR="005D6D6A" w:rsidRPr="004831AB">
              <w:rPr>
                <w:rFonts w:ascii="Times New Roman" w:eastAsia="Calibri" w:hAnsi="Times New Roman" w:cs="Times New Roman"/>
                <w:lang w:val="sr-Cyrl-CS"/>
              </w:rPr>
              <w:t xml:space="preserve">унапређење </w:t>
            </w:r>
            <w:r w:rsidR="0073793E" w:rsidRPr="004831AB">
              <w:rPr>
                <w:rFonts w:ascii="Times New Roman" w:eastAsia="Calibri" w:hAnsi="Times New Roman" w:cs="Times New Roman"/>
                <w:lang w:val="sr-Cyrl-CS"/>
              </w:rPr>
              <w:t>статист</w:t>
            </w:r>
            <w:r w:rsidR="005D6D6A" w:rsidRPr="004831AB">
              <w:rPr>
                <w:rFonts w:ascii="Times New Roman" w:eastAsia="Calibri" w:hAnsi="Times New Roman" w:cs="Times New Roman"/>
                <w:lang w:val="sr-Cyrl-CS"/>
              </w:rPr>
              <w:t xml:space="preserve">ичког праћења женског предузетништва у Републици Србији. Кроз циљане финансијске инструменте за младе, припаднике ромске националне мањине и МСПП из неразвијених подручја осигураће се инклузивност даљег развоја предузетништва у Републици Србији. </w:t>
            </w:r>
            <w:r w:rsidR="00B238BB" w:rsidRPr="004831AB">
              <w:rPr>
                <w:rFonts w:ascii="Times New Roman" w:eastAsia="Calibri" w:hAnsi="Times New Roman" w:cs="Times New Roman"/>
                <w:lang w:val="sr-Cyrl-CS"/>
              </w:rPr>
              <w:t>Мером је препознат значај различитих циљних група</w:t>
            </w:r>
            <w:r w:rsidR="0073793E" w:rsidRPr="004831AB">
              <w:rPr>
                <w:rFonts w:ascii="Times New Roman" w:eastAsia="Calibri" w:hAnsi="Times New Roman" w:cs="Times New Roman"/>
                <w:lang w:val="sr-Cyrl-CS"/>
              </w:rPr>
              <w:t xml:space="preserve"> и њиховог укључивања</w:t>
            </w:r>
            <w:r w:rsidR="00B238BB" w:rsidRPr="004831AB">
              <w:rPr>
                <w:rFonts w:ascii="Times New Roman" w:eastAsia="Calibri" w:hAnsi="Times New Roman" w:cs="Times New Roman"/>
                <w:lang w:val="sr-Cyrl-CS"/>
              </w:rPr>
              <w:t xml:space="preserve"> за развој привреде</w:t>
            </w:r>
            <w:r w:rsidR="003850EE" w:rsidRPr="004831AB">
              <w:rPr>
                <w:rFonts w:ascii="Times New Roman" w:eastAsia="Calibri" w:hAnsi="Times New Roman" w:cs="Times New Roman"/>
                <w:lang w:val="sr-Cyrl-CS"/>
              </w:rPr>
              <w:t xml:space="preserve"> и предузетништва</w:t>
            </w:r>
            <w:r w:rsidR="00B238BB" w:rsidRPr="004831AB">
              <w:rPr>
                <w:rFonts w:ascii="Times New Roman" w:eastAsia="Calibri" w:hAnsi="Times New Roman" w:cs="Times New Roman"/>
                <w:lang w:val="sr-Cyrl-CS"/>
              </w:rPr>
              <w:t xml:space="preserve">, и њене активности су допуњујуће онима предвиђеним у другим планским документима као што су Национална стратегија за младе за период од 2015. до 2025. године  и Стратегија за родну равноправност за период од 2021. до 2030. године. </w:t>
            </w:r>
            <w:r w:rsidR="005D6D6A" w:rsidRPr="004831AB">
              <w:rPr>
                <w:rFonts w:ascii="Times New Roman" w:eastAsia="Calibri" w:hAnsi="Times New Roman" w:cs="Times New Roman"/>
                <w:lang w:val="sr-Cyrl-CS"/>
              </w:rPr>
              <w:t xml:space="preserve">Што се социјалног предузетништва тиче, ова мера ће бити комплементарна мерама  које ће бити дефинисане </w:t>
            </w:r>
            <w:r w:rsidR="0040194C" w:rsidRPr="004831AB">
              <w:rPr>
                <w:rFonts w:ascii="Times New Roman" w:eastAsia="Calibri" w:hAnsi="Times New Roman" w:cs="Times New Roman"/>
                <w:lang w:val="sr-Cyrl-CS"/>
              </w:rPr>
              <w:t>п</w:t>
            </w:r>
            <w:r w:rsidR="005D6D6A" w:rsidRPr="004831AB">
              <w:rPr>
                <w:rFonts w:ascii="Times New Roman" w:eastAsia="Calibri" w:hAnsi="Times New Roman" w:cs="Times New Roman"/>
                <w:lang w:val="sr-Cyrl-CS"/>
              </w:rPr>
              <w:t xml:space="preserve">рограмом развоја социјалног предузетништва, који је у изради, а </w:t>
            </w:r>
            <w:r w:rsidR="005D6D6A" w:rsidRPr="004831AB">
              <w:rPr>
                <w:rFonts w:ascii="Times New Roman" w:eastAsia="Calibri" w:hAnsi="Times New Roman" w:cs="Times New Roman"/>
                <w:lang w:val="sr-Cyrl-CS"/>
              </w:rPr>
              <w:lastRenderedPageBreak/>
              <w:t>чији је носилац министарство у чијој су надлежности рад, запошљавање, борачка и социјална питања.</w:t>
            </w:r>
          </w:p>
        </w:tc>
      </w:tr>
      <w:tr w:rsidR="00CE622E" w:rsidRPr="004831AB" w14:paraId="5616697C" w14:textId="77777777" w:rsidTr="002566A1">
        <w:tc>
          <w:tcPr>
            <w:tcW w:w="1526" w:type="dxa"/>
          </w:tcPr>
          <w:p w14:paraId="18824C96" w14:textId="77777777" w:rsidR="00CE622E" w:rsidRPr="004831AB" w:rsidRDefault="00CE622E" w:rsidP="00CE622E">
            <w:pPr>
              <w:rPr>
                <w:rFonts w:ascii="Times New Roman" w:eastAsia="Calibri" w:hAnsi="Times New Roman" w:cs="Times New Roman"/>
                <w:bCs/>
                <w:lang w:val="sr-Cyrl-CS"/>
              </w:rPr>
            </w:pPr>
            <w:r w:rsidRPr="004831AB">
              <w:rPr>
                <w:rFonts w:ascii="Times New Roman" w:eastAsia="Calibri" w:hAnsi="Times New Roman" w:cs="Times New Roman"/>
                <w:bCs/>
                <w:lang w:val="sr-Cyrl-CS"/>
              </w:rPr>
              <w:lastRenderedPageBreak/>
              <w:t>Ефекти мере</w:t>
            </w:r>
          </w:p>
        </w:tc>
        <w:tc>
          <w:tcPr>
            <w:tcW w:w="7824" w:type="dxa"/>
            <w:gridSpan w:val="5"/>
          </w:tcPr>
          <w:p w14:paraId="59C0D774" w14:textId="77777777" w:rsidR="00CE622E" w:rsidRPr="004831AB" w:rsidRDefault="00CE622E" w:rsidP="007279A1">
            <w:pPr>
              <w:spacing w:after="160" w:line="259" w:lineRule="auto"/>
              <w:jc w:val="both"/>
              <w:rPr>
                <w:rFonts w:ascii="Times New Roman" w:eastAsia="Calibri" w:hAnsi="Times New Roman" w:cs="Times New Roman"/>
                <w:lang w:val="sr-Cyrl-CS"/>
              </w:rPr>
            </w:pPr>
            <w:r w:rsidRPr="004831AB">
              <w:rPr>
                <w:rFonts w:ascii="Times New Roman" w:eastAsia="Calibri" w:hAnsi="Times New Roman" w:cs="Times New Roman"/>
                <w:lang w:val="sr-Cyrl-CS"/>
              </w:rPr>
              <w:t>Реализацијом ове мере</w:t>
            </w:r>
            <w:r w:rsidR="005D6D6A" w:rsidRPr="004831AB">
              <w:rPr>
                <w:rFonts w:ascii="Times New Roman" w:eastAsia="Calibri" w:hAnsi="Times New Roman" w:cs="Times New Roman"/>
                <w:lang w:val="sr-Cyrl-CS"/>
              </w:rPr>
              <w:t xml:space="preserve"> повећаће се</w:t>
            </w:r>
            <w:r w:rsidRPr="004831AB">
              <w:rPr>
                <w:rFonts w:ascii="Times New Roman" w:eastAsia="Calibri" w:hAnsi="Times New Roman" w:cs="Times New Roman"/>
                <w:lang w:val="sr-Cyrl-CS"/>
              </w:rPr>
              <w:t xml:space="preserve"> инклузивност сектора МСПП и </w:t>
            </w:r>
            <w:r w:rsidR="0073793E" w:rsidRPr="004831AB">
              <w:rPr>
                <w:rFonts w:ascii="Times New Roman" w:eastAsia="Calibri" w:hAnsi="Times New Roman" w:cs="Times New Roman"/>
                <w:lang w:val="sr-Cyrl-CS"/>
              </w:rPr>
              <w:t xml:space="preserve">допринети </w:t>
            </w:r>
            <w:r w:rsidRPr="004831AB">
              <w:rPr>
                <w:rFonts w:ascii="Times New Roman" w:eastAsia="Calibri" w:hAnsi="Times New Roman" w:cs="Times New Roman"/>
                <w:lang w:val="sr-Cyrl-CS"/>
              </w:rPr>
              <w:t>ојача</w:t>
            </w:r>
            <w:r w:rsidR="0073793E" w:rsidRPr="004831AB">
              <w:rPr>
                <w:rFonts w:ascii="Times New Roman" w:eastAsia="Calibri" w:hAnsi="Times New Roman" w:cs="Times New Roman"/>
                <w:lang w:val="sr-Cyrl-CS"/>
              </w:rPr>
              <w:t>њу</w:t>
            </w:r>
            <w:r w:rsidRPr="004831AB">
              <w:rPr>
                <w:rFonts w:ascii="Times New Roman" w:eastAsia="Calibri" w:hAnsi="Times New Roman" w:cs="Times New Roman"/>
                <w:lang w:val="sr-Cyrl-CS"/>
              </w:rPr>
              <w:t xml:space="preserve"> економск</w:t>
            </w:r>
            <w:r w:rsidR="0073793E" w:rsidRPr="004831AB">
              <w:rPr>
                <w:rFonts w:ascii="Times New Roman" w:eastAsia="Calibri" w:hAnsi="Times New Roman" w:cs="Times New Roman"/>
                <w:lang w:val="sr-Cyrl-CS"/>
              </w:rPr>
              <w:t>ог</w:t>
            </w:r>
            <w:r w:rsidRPr="004831AB">
              <w:rPr>
                <w:rFonts w:ascii="Times New Roman" w:eastAsia="Calibri" w:hAnsi="Times New Roman" w:cs="Times New Roman"/>
                <w:lang w:val="sr-Cyrl-CS"/>
              </w:rPr>
              <w:t xml:space="preserve"> положај</w:t>
            </w:r>
            <w:r w:rsidR="0073793E" w:rsidRPr="004831AB">
              <w:rPr>
                <w:rFonts w:ascii="Times New Roman" w:eastAsia="Calibri" w:hAnsi="Times New Roman" w:cs="Times New Roman"/>
                <w:lang w:val="sr-Cyrl-CS"/>
              </w:rPr>
              <w:t>а</w:t>
            </w:r>
            <w:r w:rsidRPr="004831AB">
              <w:rPr>
                <w:rFonts w:ascii="Times New Roman" w:eastAsia="Calibri" w:hAnsi="Times New Roman" w:cs="Times New Roman"/>
                <w:lang w:val="sr-Cyrl-CS"/>
              </w:rPr>
              <w:t xml:space="preserve"> жена</w:t>
            </w:r>
            <w:r w:rsidR="0073793E" w:rsidRPr="004831AB">
              <w:rPr>
                <w:rFonts w:ascii="Times New Roman" w:eastAsia="Calibri" w:hAnsi="Times New Roman" w:cs="Times New Roman"/>
                <w:lang w:val="sr-Cyrl-CS"/>
              </w:rPr>
              <w:t>, младих и припадника других осетљивих циљних група</w:t>
            </w:r>
            <w:r w:rsidRPr="004831AB">
              <w:rPr>
                <w:rFonts w:ascii="Times New Roman" w:eastAsia="Calibri" w:hAnsi="Times New Roman" w:cs="Times New Roman"/>
                <w:lang w:val="sr-Cyrl-CS"/>
              </w:rPr>
              <w:t xml:space="preserve"> у Републици Србији. </w:t>
            </w:r>
            <w:r w:rsidR="006E7511" w:rsidRPr="004831AB">
              <w:rPr>
                <w:rFonts w:ascii="Times New Roman" w:eastAsia="Calibri" w:hAnsi="Times New Roman" w:cs="Times New Roman"/>
                <w:lang w:val="sr-Cyrl-CS"/>
              </w:rPr>
              <w:t xml:space="preserve">Остали битни ефекти ове мере </w:t>
            </w:r>
            <w:r w:rsidR="006E7511" w:rsidRPr="004831AB">
              <w:rPr>
                <w:rFonts w:ascii="Times New Roman" w:hAnsi="Times New Roman" w:cs="Times New Roman"/>
                <w:lang w:val="sr-Cyrl-CS"/>
              </w:rPr>
              <w:t xml:space="preserve">се односе на јачање социјалних предузетничких подухвата у Републици Србији, те последично решавање ширих друштвених потреба на иновативан начин. </w:t>
            </w:r>
          </w:p>
        </w:tc>
      </w:tr>
    </w:tbl>
    <w:p w14:paraId="34D9ACEA" w14:textId="77777777" w:rsidR="007D2CA2" w:rsidRPr="004831AB" w:rsidRDefault="007D2CA2" w:rsidP="0030106A">
      <w:pPr>
        <w:rPr>
          <w:lang w:val="sr-Cyrl-CS"/>
        </w:rPr>
      </w:pPr>
    </w:p>
    <w:p w14:paraId="1DCB51F2" w14:textId="77777777" w:rsidR="00D90CC9" w:rsidRPr="004831AB" w:rsidRDefault="00D90CC9" w:rsidP="003459FD">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Анализа ефеката мера предложених овом ст</w:t>
      </w:r>
      <w:r w:rsidR="00CC0571" w:rsidRPr="004831AB">
        <w:rPr>
          <w:rFonts w:ascii="Times New Roman" w:hAnsi="Times New Roman" w:cs="Times New Roman"/>
          <w:bCs/>
          <w:sz w:val="24"/>
          <w:szCs w:val="24"/>
          <w:lang w:val="sr-Cyrl-CS"/>
        </w:rPr>
        <w:t>р</w:t>
      </w:r>
      <w:r w:rsidRPr="004831AB">
        <w:rPr>
          <w:rFonts w:ascii="Times New Roman" w:hAnsi="Times New Roman" w:cs="Times New Roman"/>
          <w:bCs/>
          <w:sz w:val="24"/>
          <w:szCs w:val="24"/>
          <w:lang w:val="sr-Cyrl-CS"/>
        </w:rPr>
        <w:t xml:space="preserve">атегијом </w:t>
      </w:r>
    </w:p>
    <w:p w14:paraId="1C136897" w14:textId="2627D4A1" w:rsidR="007279A1" w:rsidRPr="004831AB" w:rsidRDefault="00D90CC9" w:rsidP="003459FD">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Мере предложене овим документом јавне политике произвешће различите ефекте по привреду и друштво у целини. Иако ће за реализацију мера и активности предвиђених у Акционом плану бити издвојена </w:t>
      </w:r>
      <w:r w:rsidR="00D54DBB" w:rsidRPr="004831AB">
        <w:rPr>
          <w:rFonts w:ascii="Times New Roman" w:hAnsi="Times New Roman" w:cs="Times New Roman"/>
          <w:sz w:val="24"/>
          <w:szCs w:val="24"/>
          <w:lang w:val="sr-Cyrl-CS"/>
        </w:rPr>
        <w:t xml:space="preserve">значајна средства из буџета Републике Србије како би се спровели програми финансијске и нефинансијске подршке МСПП, као и даљи кораци на унапређењу правног, институционалног и оперативног окружења за МСПП и поједноставило њихово свакодневно пословање, </w:t>
      </w:r>
      <w:r w:rsidR="00E02D36" w:rsidRPr="004831AB">
        <w:rPr>
          <w:rFonts w:ascii="Times New Roman" w:hAnsi="Times New Roman" w:cs="Times New Roman"/>
          <w:sz w:val="24"/>
          <w:szCs w:val="24"/>
          <w:lang w:val="sr-Cyrl-CS"/>
        </w:rPr>
        <w:t xml:space="preserve">посматрано </w:t>
      </w:r>
      <w:r w:rsidR="00D54DBB" w:rsidRPr="004831AB">
        <w:rPr>
          <w:rFonts w:ascii="Times New Roman" w:hAnsi="Times New Roman" w:cs="Times New Roman"/>
          <w:sz w:val="24"/>
          <w:szCs w:val="24"/>
          <w:lang w:val="sr-Cyrl-CS"/>
        </w:rPr>
        <w:t>на средњи и дужи рок</w:t>
      </w:r>
      <w:r w:rsidR="00E02D36" w:rsidRPr="004831AB">
        <w:rPr>
          <w:rFonts w:ascii="Times New Roman" w:hAnsi="Times New Roman" w:cs="Times New Roman"/>
          <w:sz w:val="24"/>
          <w:szCs w:val="24"/>
          <w:lang w:val="sr-Cyrl-CS"/>
        </w:rPr>
        <w:t>,</w:t>
      </w:r>
      <w:r w:rsidR="00D54DBB" w:rsidRPr="004831AB">
        <w:rPr>
          <w:rFonts w:ascii="Times New Roman" w:hAnsi="Times New Roman" w:cs="Times New Roman"/>
          <w:sz w:val="24"/>
          <w:szCs w:val="24"/>
          <w:lang w:val="sr-Cyrl-CS"/>
        </w:rPr>
        <w:t xml:space="preserve"> ов</w:t>
      </w:r>
      <w:r w:rsidR="00E02D36" w:rsidRPr="004831AB">
        <w:rPr>
          <w:rFonts w:ascii="Times New Roman" w:hAnsi="Times New Roman" w:cs="Times New Roman"/>
          <w:sz w:val="24"/>
          <w:szCs w:val="24"/>
          <w:lang w:val="sr-Cyrl-CS"/>
        </w:rPr>
        <w:t>е</w:t>
      </w:r>
      <w:r w:rsidR="00D54DBB" w:rsidRPr="004831AB">
        <w:rPr>
          <w:rFonts w:ascii="Times New Roman" w:hAnsi="Times New Roman" w:cs="Times New Roman"/>
          <w:sz w:val="24"/>
          <w:szCs w:val="24"/>
          <w:lang w:val="sr-Cyrl-CS"/>
        </w:rPr>
        <w:t xml:space="preserve"> ће се инвестициј</w:t>
      </w:r>
      <w:r w:rsidR="00E84E0F" w:rsidRPr="004831AB">
        <w:rPr>
          <w:rFonts w:ascii="Times New Roman" w:hAnsi="Times New Roman" w:cs="Times New Roman"/>
          <w:sz w:val="24"/>
          <w:szCs w:val="24"/>
          <w:lang w:val="sr-Cyrl-CS"/>
        </w:rPr>
        <w:t xml:space="preserve">e </w:t>
      </w:r>
      <w:r w:rsidR="00D54DBB" w:rsidRPr="004831AB">
        <w:rPr>
          <w:rFonts w:ascii="Times New Roman" w:hAnsi="Times New Roman" w:cs="Times New Roman"/>
          <w:sz w:val="24"/>
          <w:szCs w:val="24"/>
          <w:lang w:val="sr-Cyrl-CS"/>
        </w:rPr>
        <w:t>вратити. Кроз подизање конкурентности МСПП, јачање њихове отпорности на спољне ризике и њихове одрживости, МСПП ће значајније и допринос</w:t>
      </w:r>
      <w:r w:rsidR="0080530B" w:rsidRPr="004831AB">
        <w:rPr>
          <w:rFonts w:ascii="Times New Roman" w:hAnsi="Times New Roman" w:cs="Times New Roman"/>
          <w:sz w:val="24"/>
          <w:szCs w:val="24"/>
          <w:lang w:val="sr-Cyrl-CS"/>
        </w:rPr>
        <w:t>и</w:t>
      </w:r>
      <w:r w:rsidR="00D54DBB" w:rsidRPr="004831AB">
        <w:rPr>
          <w:rFonts w:ascii="Times New Roman" w:hAnsi="Times New Roman" w:cs="Times New Roman"/>
          <w:sz w:val="24"/>
          <w:szCs w:val="24"/>
          <w:lang w:val="sr-Cyrl-CS"/>
        </w:rPr>
        <w:t xml:space="preserve">ти буџетским приходима. </w:t>
      </w:r>
    </w:p>
    <w:p w14:paraId="2FA01AC2" w14:textId="074A04B5" w:rsidR="00D90CC9" w:rsidRPr="004831AB" w:rsidRDefault="00D54DBB" w:rsidP="008C1721">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Поред </w:t>
      </w:r>
      <w:r w:rsidR="001E5D0C" w:rsidRPr="004831AB">
        <w:rPr>
          <w:rFonts w:ascii="Times New Roman" w:hAnsi="Times New Roman" w:cs="Times New Roman"/>
          <w:sz w:val="24"/>
          <w:szCs w:val="24"/>
          <w:lang w:val="sr-Cyrl-CS"/>
        </w:rPr>
        <w:t xml:space="preserve">издвајања из буџета Републике Србије, за реализацију мера и активности предвиђених овом стратегијом, користиће се и донаторска средства, а нарочито имајући у виду да је јачање МСПП приоритетна област </w:t>
      </w:r>
      <w:r w:rsidR="00994C5C" w:rsidRPr="004831AB">
        <w:rPr>
          <w:rFonts w:ascii="Times New Roman" w:hAnsi="Times New Roman" w:cs="Times New Roman"/>
          <w:sz w:val="24"/>
          <w:szCs w:val="24"/>
          <w:lang w:val="sr-Cyrl-CS"/>
        </w:rPr>
        <w:t>како међународних организација</w:t>
      </w:r>
      <w:r w:rsidR="001E3448" w:rsidRPr="004831AB">
        <w:rPr>
          <w:rFonts w:ascii="Times New Roman" w:hAnsi="Times New Roman" w:cs="Times New Roman"/>
          <w:sz w:val="24"/>
          <w:szCs w:val="24"/>
          <w:lang w:val="sr-Cyrl-CS"/>
        </w:rPr>
        <w:t xml:space="preserve"> и </w:t>
      </w:r>
      <w:r w:rsidR="00994C5C" w:rsidRPr="004831AB">
        <w:rPr>
          <w:rFonts w:ascii="Times New Roman" w:hAnsi="Times New Roman" w:cs="Times New Roman"/>
          <w:sz w:val="24"/>
          <w:szCs w:val="24"/>
          <w:lang w:val="sr-Cyrl-CS"/>
        </w:rPr>
        <w:t xml:space="preserve">међународних финансијских организација, тако и билатералних донатора. </w:t>
      </w:r>
    </w:p>
    <w:p w14:paraId="2C2F5D45" w14:textId="05BCD283" w:rsidR="00994C5C" w:rsidRPr="004831AB" w:rsidRDefault="00994C5C" w:rsidP="003459FD">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Мере ове стратегије доприне</w:t>
      </w:r>
      <w:r w:rsidR="007D4D96" w:rsidRPr="004831AB">
        <w:rPr>
          <w:rFonts w:ascii="Times New Roman" w:hAnsi="Times New Roman" w:cs="Times New Roman"/>
          <w:sz w:val="24"/>
          <w:szCs w:val="24"/>
          <w:lang w:val="sr-Cyrl-CS"/>
        </w:rPr>
        <w:t>ће</w:t>
      </w:r>
      <w:r w:rsidRPr="004831AB">
        <w:rPr>
          <w:rFonts w:ascii="Times New Roman" w:hAnsi="Times New Roman" w:cs="Times New Roman"/>
          <w:sz w:val="24"/>
          <w:szCs w:val="24"/>
          <w:lang w:val="sr-Cyrl-CS"/>
        </w:rPr>
        <w:t xml:space="preserve"> смањењу трошкова за МСПП, а пружиће и финансијску подршку за реализацију њихових инвестиција, пројеката, као и дигиталну трансформацију и ресурсну ефикасност и одрживост.</w:t>
      </w:r>
      <w:r w:rsidRPr="004831AB">
        <w:rPr>
          <w:rFonts w:ascii="Times New Roman" w:hAnsi="Times New Roman" w:cs="Times New Roman"/>
          <w:color w:val="FF0000"/>
          <w:sz w:val="24"/>
          <w:szCs w:val="24"/>
          <w:lang w:val="sr-Cyrl-CS"/>
        </w:rPr>
        <w:t xml:space="preserve"> </w:t>
      </w:r>
      <w:r w:rsidR="0054043F" w:rsidRPr="004831AB">
        <w:rPr>
          <w:rFonts w:ascii="Times New Roman" w:hAnsi="Times New Roman" w:cs="Times New Roman"/>
          <w:sz w:val="24"/>
          <w:szCs w:val="24"/>
          <w:lang w:val="sr-Cyrl-CS"/>
        </w:rPr>
        <w:t>Мере</w:t>
      </w:r>
      <w:r w:rsidRPr="004831AB">
        <w:rPr>
          <w:rFonts w:ascii="Times New Roman" w:hAnsi="Times New Roman" w:cs="Times New Roman"/>
          <w:color w:val="FF0000"/>
          <w:sz w:val="24"/>
          <w:szCs w:val="24"/>
          <w:lang w:val="sr-Cyrl-CS"/>
        </w:rPr>
        <w:t xml:space="preserve"> </w:t>
      </w:r>
      <w:r w:rsidRPr="004831AB">
        <w:rPr>
          <w:rFonts w:ascii="Times New Roman" w:hAnsi="Times New Roman" w:cs="Times New Roman"/>
          <w:sz w:val="24"/>
          <w:szCs w:val="24"/>
          <w:lang w:val="sr-Cyrl-CS"/>
        </w:rPr>
        <w:t xml:space="preserve">су осмишљене тако да подстакну конкурентност МСПП како на домаћем тако и </w:t>
      </w:r>
      <w:r w:rsidR="0054043F" w:rsidRPr="004831AB">
        <w:rPr>
          <w:rFonts w:ascii="Times New Roman" w:hAnsi="Times New Roman" w:cs="Times New Roman"/>
          <w:sz w:val="24"/>
          <w:szCs w:val="24"/>
          <w:lang w:val="sr-Cyrl-CS"/>
        </w:rPr>
        <w:t xml:space="preserve">на </w:t>
      </w:r>
      <w:r w:rsidRPr="004831AB">
        <w:rPr>
          <w:rFonts w:ascii="Times New Roman" w:hAnsi="Times New Roman" w:cs="Times New Roman"/>
          <w:sz w:val="24"/>
          <w:szCs w:val="24"/>
          <w:lang w:val="sr-Cyrl-CS"/>
        </w:rPr>
        <w:t>различитим иностраним тржиштима</w:t>
      </w:r>
      <w:r w:rsidR="003346EA"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и то тако што ће им се пружити различите врсте информација, савета, нефинансијске и финансијске подршке. Активности и мере су осмишљене тако да подстакну </w:t>
      </w:r>
      <w:r w:rsidR="007279A1" w:rsidRPr="004831AB">
        <w:rPr>
          <w:rFonts w:ascii="Times New Roman" w:hAnsi="Times New Roman" w:cs="Times New Roman"/>
          <w:sz w:val="24"/>
          <w:szCs w:val="24"/>
          <w:lang w:val="sr-Cyrl-CS"/>
        </w:rPr>
        <w:t xml:space="preserve">и </w:t>
      </w:r>
      <w:r w:rsidRPr="004831AB">
        <w:rPr>
          <w:rFonts w:ascii="Times New Roman" w:hAnsi="Times New Roman" w:cs="Times New Roman"/>
          <w:sz w:val="24"/>
          <w:szCs w:val="24"/>
          <w:lang w:val="sr-Cyrl-CS"/>
        </w:rPr>
        <w:t>иновације у МСПП, како производно-процесне, тако и маркетиншке и организационе, а биће подржана и сарадња науке и прив</w:t>
      </w:r>
      <w:r w:rsidR="004A114A" w:rsidRPr="004831AB">
        <w:rPr>
          <w:rFonts w:ascii="Times New Roman" w:hAnsi="Times New Roman" w:cs="Times New Roman"/>
          <w:sz w:val="24"/>
          <w:szCs w:val="24"/>
          <w:lang w:val="sr-Cyrl-CS"/>
        </w:rPr>
        <w:t>р</w:t>
      </w:r>
      <w:r w:rsidRPr="004831AB">
        <w:rPr>
          <w:rFonts w:ascii="Times New Roman" w:hAnsi="Times New Roman" w:cs="Times New Roman"/>
          <w:sz w:val="24"/>
          <w:szCs w:val="24"/>
          <w:lang w:val="sr-Cyrl-CS"/>
        </w:rPr>
        <w:t xml:space="preserve">еде кроз програме чији је циљ управо комерцијализација иновација и јачање конкурентности МСПП. </w:t>
      </w:r>
      <w:r w:rsidR="00957BCB" w:rsidRPr="004831AB">
        <w:rPr>
          <w:rFonts w:ascii="Times New Roman" w:hAnsi="Times New Roman" w:cs="Times New Roman"/>
          <w:sz w:val="24"/>
          <w:szCs w:val="24"/>
          <w:lang w:val="sr-Cyrl-CS"/>
        </w:rPr>
        <w:t>Јачањем конкурентности, МСПП ће бити у могућности да креирају нова радна места, што ће се позитивно одразити на даље смањење незапослености</w:t>
      </w:r>
      <w:r w:rsidR="004A114A" w:rsidRPr="004831AB">
        <w:rPr>
          <w:rFonts w:ascii="Times New Roman" w:hAnsi="Times New Roman" w:cs="Times New Roman"/>
          <w:sz w:val="24"/>
          <w:szCs w:val="24"/>
          <w:lang w:val="sr-Cyrl-CS"/>
        </w:rPr>
        <w:t>,</w:t>
      </w:r>
      <w:r w:rsidR="00957BCB" w:rsidRPr="004831AB">
        <w:rPr>
          <w:rFonts w:ascii="Times New Roman" w:hAnsi="Times New Roman" w:cs="Times New Roman"/>
          <w:sz w:val="24"/>
          <w:szCs w:val="24"/>
          <w:lang w:val="sr-Cyrl-CS"/>
        </w:rPr>
        <w:t xml:space="preserve"> унапређење знања и вештина запослених, али и менаџера и власника МСПП, као и креирање модела за привлачење и задржавање квалитетних кадрова у сектору МСПП</w:t>
      </w:r>
      <w:r w:rsidR="004A114A" w:rsidRPr="004831AB">
        <w:rPr>
          <w:rFonts w:ascii="Times New Roman" w:hAnsi="Times New Roman" w:cs="Times New Roman"/>
          <w:sz w:val="24"/>
          <w:szCs w:val="24"/>
          <w:lang w:val="sr-Cyrl-CS"/>
        </w:rPr>
        <w:t xml:space="preserve"> и </w:t>
      </w:r>
      <w:r w:rsidR="00957BCB" w:rsidRPr="004831AB">
        <w:rPr>
          <w:rFonts w:ascii="Times New Roman" w:hAnsi="Times New Roman" w:cs="Times New Roman"/>
          <w:sz w:val="24"/>
          <w:szCs w:val="24"/>
          <w:lang w:val="sr-Cyrl-CS"/>
        </w:rPr>
        <w:t xml:space="preserve">подстаћи ће заинтересованост радне снаге и за овај сектор. </w:t>
      </w:r>
      <w:r w:rsidRPr="004831AB">
        <w:rPr>
          <w:rFonts w:ascii="Times New Roman" w:hAnsi="Times New Roman" w:cs="Times New Roman"/>
          <w:sz w:val="24"/>
          <w:szCs w:val="24"/>
          <w:lang w:val="sr-Cyrl-CS"/>
        </w:rPr>
        <w:t xml:space="preserve">Имајући у виду значај МСПП за </w:t>
      </w:r>
      <w:r w:rsidRPr="004831AB">
        <w:rPr>
          <w:rFonts w:ascii="Times New Roman" w:hAnsi="Times New Roman" w:cs="Times New Roman"/>
          <w:bCs/>
          <w:sz w:val="24"/>
          <w:szCs w:val="24"/>
          <w:lang w:val="sr-Cyrl-CS"/>
        </w:rPr>
        <w:t>локалну заједницу</w:t>
      </w:r>
      <w:r w:rsidRPr="004831AB">
        <w:rPr>
          <w:rFonts w:ascii="Times New Roman" w:hAnsi="Times New Roman" w:cs="Times New Roman"/>
          <w:sz w:val="24"/>
          <w:szCs w:val="24"/>
          <w:lang w:val="sr-Cyrl-CS"/>
        </w:rPr>
        <w:t xml:space="preserve">, њихов раст и развој који се одвија најпре на </w:t>
      </w:r>
      <w:r w:rsidRPr="004831AB">
        <w:rPr>
          <w:rFonts w:ascii="Times New Roman" w:hAnsi="Times New Roman" w:cs="Times New Roman"/>
          <w:bCs/>
          <w:sz w:val="24"/>
          <w:szCs w:val="24"/>
          <w:lang w:val="sr-Cyrl-CS"/>
        </w:rPr>
        <w:t>локалу</w:t>
      </w:r>
      <w:r w:rsidRPr="004831AB">
        <w:rPr>
          <w:rFonts w:ascii="Times New Roman" w:hAnsi="Times New Roman" w:cs="Times New Roman"/>
          <w:sz w:val="24"/>
          <w:szCs w:val="24"/>
          <w:lang w:val="sr-Cyrl-CS"/>
        </w:rPr>
        <w:t xml:space="preserve">, подршка МСПП која ће бити обезбеђена мерама ове стратегије позитивно ће допринети </w:t>
      </w:r>
      <w:r w:rsidR="00957BCB" w:rsidRPr="004831AB">
        <w:rPr>
          <w:rFonts w:ascii="Times New Roman" w:hAnsi="Times New Roman" w:cs="Times New Roman"/>
          <w:sz w:val="24"/>
          <w:szCs w:val="24"/>
          <w:lang w:val="sr-Cyrl-CS"/>
        </w:rPr>
        <w:t xml:space="preserve">и целокупном друштвеном развоју. </w:t>
      </w:r>
    </w:p>
    <w:p w14:paraId="3019DCE9" w14:textId="1DB33EBE" w:rsidR="0094006A" w:rsidRPr="004831AB" w:rsidRDefault="0094006A" w:rsidP="005E4914">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Мере предвиђене овом стратегијом позитивно ће утицати на положај различитих друштвених група, нарочито жена и младих, а обухватају и друге рањиве циљне групе (нпр. </w:t>
      </w:r>
      <w:r w:rsidR="00CC0571" w:rsidRPr="004831AB">
        <w:rPr>
          <w:rFonts w:ascii="Times New Roman" w:hAnsi="Times New Roman" w:cs="Times New Roman"/>
          <w:sz w:val="24"/>
          <w:szCs w:val="24"/>
          <w:lang w:val="sr-Cyrl-CS"/>
        </w:rPr>
        <w:t>Роме</w:t>
      </w:r>
      <w:r w:rsidRPr="004831AB">
        <w:rPr>
          <w:rFonts w:ascii="Times New Roman" w:hAnsi="Times New Roman" w:cs="Times New Roman"/>
          <w:sz w:val="24"/>
          <w:szCs w:val="24"/>
          <w:lang w:val="sr-Cyrl-CS"/>
        </w:rPr>
        <w:t xml:space="preserve">, социјална предузећа, незапослене и </w:t>
      </w:r>
      <w:r w:rsidR="00DF0AFB" w:rsidRPr="004831AB">
        <w:rPr>
          <w:rFonts w:ascii="Times New Roman" w:hAnsi="Times New Roman" w:cs="Times New Roman"/>
          <w:bCs/>
          <w:sz w:val="24"/>
          <w:szCs w:val="24"/>
          <w:lang w:val="sr-Cyrl-CS"/>
        </w:rPr>
        <w:t>др</w:t>
      </w:r>
      <w:r w:rsidRPr="004831AB">
        <w:rPr>
          <w:rFonts w:ascii="Times New Roman" w:hAnsi="Times New Roman" w:cs="Times New Roman"/>
          <w:bCs/>
          <w:sz w:val="24"/>
          <w:szCs w:val="24"/>
          <w:lang w:val="sr-Cyrl-CS"/>
        </w:rPr>
        <w:t>).</w:t>
      </w:r>
      <w:r w:rsidRPr="004831AB">
        <w:rPr>
          <w:rFonts w:ascii="Times New Roman" w:hAnsi="Times New Roman" w:cs="Times New Roman"/>
          <w:sz w:val="24"/>
          <w:szCs w:val="24"/>
          <w:lang w:val="sr-Cyrl-CS"/>
        </w:rPr>
        <w:t xml:space="preserve"> Предузетништво значајно доприноси унапређењу друштвено-економског положаја ових циљних група, јача њихову економску позицију и оснажује их. Унапређењем конкурентности сектора МСПП значајно се подстиче и запосленост и креирање нових радних места, </w:t>
      </w:r>
      <w:r w:rsidR="00F2759D" w:rsidRPr="004831AB">
        <w:rPr>
          <w:rFonts w:ascii="Times New Roman" w:hAnsi="Times New Roman" w:cs="Times New Roman"/>
          <w:sz w:val="24"/>
          <w:szCs w:val="24"/>
          <w:lang w:val="sr-Cyrl-CS"/>
        </w:rPr>
        <w:t>па</w:t>
      </w:r>
      <w:r w:rsidRPr="004831AB">
        <w:rPr>
          <w:rFonts w:ascii="Times New Roman" w:hAnsi="Times New Roman" w:cs="Times New Roman"/>
          <w:sz w:val="24"/>
          <w:szCs w:val="24"/>
          <w:lang w:val="sr-Cyrl-CS"/>
        </w:rPr>
        <w:t xml:space="preserve"> ће мере предвиђене ов</w:t>
      </w:r>
      <w:r w:rsidR="00F2759D" w:rsidRPr="004831AB">
        <w:rPr>
          <w:rFonts w:ascii="Times New Roman" w:hAnsi="Times New Roman" w:cs="Times New Roman"/>
          <w:sz w:val="24"/>
          <w:szCs w:val="24"/>
          <w:lang w:val="sr-Cyrl-CS"/>
        </w:rPr>
        <w:t>ом</w:t>
      </w:r>
      <w:r w:rsidRPr="004831AB">
        <w:rPr>
          <w:rFonts w:ascii="Times New Roman" w:hAnsi="Times New Roman" w:cs="Times New Roman"/>
          <w:sz w:val="24"/>
          <w:szCs w:val="24"/>
          <w:lang w:val="sr-Cyrl-CS"/>
        </w:rPr>
        <w:t xml:space="preserve"> стратегиј</w:t>
      </w:r>
      <w:r w:rsidR="00F2759D" w:rsidRPr="004831AB">
        <w:rPr>
          <w:rFonts w:ascii="Times New Roman" w:hAnsi="Times New Roman" w:cs="Times New Roman"/>
          <w:sz w:val="24"/>
          <w:szCs w:val="24"/>
          <w:lang w:val="sr-Cyrl-CS"/>
        </w:rPr>
        <w:t>ом</w:t>
      </w:r>
      <w:r w:rsidRPr="004831AB">
        <w:rPr>
          <w:rFonts w:ascii="Times New Roman" w:hAnsi="Times New Roman" w:cs="Times New Roman"/>
          <w:sz w:val="24"/>
          <w:szCs w:val="24"/>
          <w:lang w:val="sr-Cyrl-CS"/>
        </w:rPr>
        <w:t xml:space="preserve"> имати позитиван утицај и на ту област, а кроз моделе за привлачење и задржавање кадрова у МСПП </w:t>
      </w:r>
      <w:r w:rsidRPr="004831AB">
        <w:rPr>
          <w:rFonts w:ascii="Times New Roman" w:hAnsi="Times New Roman" w:cs="Times New Roman"/>
          <w:sz w:val="24"/>
          <w:szCs w:val="24"/>
          <w:lang w:val="sr-Cyrl-CS"/>
        </w:rPr>
        <w:lastRenderedPageBreak/>
        <w:t>и промоцију примера добре праксе</w:t>
      </w:r>
      <w:r w:rsidR="00F2759D" w:rsidRPr="004831AB">
        <w:rPr>
          <w:rFonts w:ascii="Times New Roman" w:hAnsi="Times New Roman" w:cs="Times New Roman"/>
          <w:sz w:val="24"/>
          <w:szCs w:val="24"/>
          <w:lang w:val="sr-Cyrl-CS"/>
        </w:rPr>
        <w:t>, а п</w:t>
      </w:r>
      <w:r w:rsidRPr="004831AB">
        <w:rPr>
          <w:rFonts w:ascii="Times New Roman" w:hAnsi="Times New Roman" w:cs="Times New Roman"/>
          <w:sz w:val="24"/>
          <w:szCs w:val="24"/>
          <w:lang w:val="sr-Cyrl-CS"/>
        </w:rPr>
        <w:t>ослодавцима из сектора МСПП би</w:t>
      </w:r>
      <w:r w:rsidR="00F2759D" w:rsidRPr="004831AB">
        <w:rPr>
          <w:rFonts w:ascii="Times New Roman" w:hAnsi="Times New Roman" w:cs="Times New Roman"/>
          <w:sz w:val="24"/>
          <w:szCs w:val="24"/>
          <w:lang w:val="sr-Cyrl-CS"/>
        </w:rPr>
        <w:t>ће</w:t>
      </w:r>
      <w:r w:rsidRPr="004831AB">
        <w:rPr>
          <w:rFonts w:ascii="Times New Roman" w:hAnsi="Times New Roman" w:cs="Times New Roman"/>
          <w:sz w:val="24"/>
          <w:szCs w:val="24"/>
          <w:lang w:val="sr-Cyrl-CS"/>
        </w:rPr>
        <w:t xml:space="preserve"> омогућено да  ангажују запослен</w:t>
      </w:r>
      <w:r w:rsidR="00B6586B" w:rsidRPr="004831AB">
        <w:rPr>
          <w:rFonts w:ascii="Times New Roman" w:hAnsi="Times New Roman" w:cs="Times New Roman"/>
          <w:sz w:val="24"/>
          <w:szCs w:val="24"/>
          <w:lang w:val="sr-Cyrl-CS"/>
        </w:rPr>
        <w:t>е</w:t>
      </w:r>
      <w:r w:rsidRPr="004831AB">
        <w:rPr>
          <w:rFonts w:ascii="Times New Roman" w:hAnsi="Times New Roman" w:cs="Times New Roman"/>
          <w:sz w:val="24"/>
          <w:szCs w:val="24"/>
          <w:lang w:val="sr-Cyrl-CS"/>
        </w:rPr>
        <w:t xml:space="preserve"> у складу са добр</w:t>
      </w:r>
      <w:r w:rsidR="00E82CAD" w:rsidRPr="004831AB">
        <w:rPr>
          <w:rFonts w:ascii="Times New Roman" w:hAnsi="Times New Roman" w:cs="Times New Roman"/>
          <w:sz w:val="24"/>
          <w:szCs w:val="24"/>
          <w:lang w:val="sr-Cyrl-CS"/>
        </w:rPr>
        <w:t>о</w:t>
      </w:r>
      <w:r w:rsidRPr="004831AB">
        <w:rPr>
          <w:rFonts w:ascii="Times New Roman" w:hAnsi="Times New Roman" w:cs="Times New Roman"/>
          <w:sz w:val="24"/>
          <w:szCs w:val="24"/>
          <w:lang w:val="sr-Cyrl-CS"/>
        </w:rPr>
        <w:t>м пракс</w:t>
      </w:r>
      <w:r w:rsidR="00E82CAD" w:rsidRPr="004831AB">
        <w:rPr>
          <w:rFonts w:ascii="Times New Roman" w:hAnsi="Times New Roman" w:cs="Times New Roman"/>
          <w:sz w:val="24"/>
          <w:szCs w:val="24"/>
          <w:lang w:val="sr-Cyrl-CS"/>
        </w:rPr>
        <w:t>ом</w:t>
      </w:r>
      <w:r w:rsidRPr="004831AB">
        <w:rPr>
          <w:rFonts w:ascii="Times New Roman" w:hAnsi="Times New Roman" w:cs="Times New Roman"/>
          <w:sz w:val="24"/>
          <w:szCs w:val="24"/>
          <w:lang w:val="sr-Cyrl-CS"/>
        </w:rPr>
        <w:t xml:space="preserve"> и трендовима. </w:t>
      </w:r>
    </w:p>
    <w:p w14:paraId="6B3C9D00" w14:textId="5ED0831C" w:rsidR="0094006A" w:rsidRPr="004831AB" w:rsidRDefault="0094006A" w:rsidP="00F2759D">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Мере предвиђене овом стратегијом нису секторске и нису креиране тако да </w:t>
      </w:r>
      <w:r w:rsidR="00D32F3E" w:rsidRPr="004831AB">
        <w:rPr>
          <w:rFonts w:ascii="Times New Roman" w:hAnsi="Times New Roman" w:cs="Times New Roman"/>
          <w:sz w:val="24"/>
          <w:szCs w:val="24"/>
          <w:lang w:val="sr-Cyrl-CS"/>
        </w:rPr>
        <w:t xml:space="preserve">унапређују привреду неког посебног статистичког региона у Републици Србији, већ су хоризонталне. </w:t>
      </w:r>
      <w:r w:rsidR="007279A1" w:rsidRPr="004831AB">
        <w:rPr>
          <w:rFonts w:ascii="Times New Roman" w:hAnsi="Times New Roman" w:cs="Times New Roman"/>
          <w:sz w:val="24"/>
          <w:szCs w:val="24"/>
          <w:lang w:val="sr-Cyrl-CS"/>
        </w:rPr>
        <w:t>Међутим</w:t>
      </w:r>
      <w:r w:rsidR="00D32F3E" w:rsidRPr="004831AB">
        <w:rPr>
          <w:rFonts w:ascii="Times New Roman" w:hAnsi="Times New Roman" w:cs="Times New Roman"/>
          <w:sz w:val="24"/>
          <w:szCs w:val="24"/>
          <w:lang w:val="sr-Cyrl-CS"/>
        </w:rPr>
        <w:t>, како МСПП чине окосницу локалних и регионалних привреда, њихов развој, унапређење продуктивности и конкурентности има</w:t>
      </w:r>
      <w:r w:rsidR="008D7E90" w:rsidRPr="004831AB">
        <w:rPr>
          <w:rFonts w:ascii="Times New Roman" w:hAnsi="Times New Roman" w:cs="Times New Roman"/>
          <w:sz w:val="24"/>
          <w:szCs w:val="24"/>
          <w:lang w:val="sr-Cyrl-CS"/>
        </w:rPr>
        <w:t>ће</w:t>
      </w:r>
      <w:r w:rsidR="00D32F3E" w:rsidRPr="004831AB">
        <w:rPr>
          <w:rFonts w:ascii="Times New Roman" w:hAnsi="Times New Roman" w:cs="Times New Roman"/>
          <w:sz w:val="24"/>
          <w:szCs w:val="24"/>
          <w:lang w:val="sr-Cyrl-CS"/>
        </w:rPr>
        <w:t xml:space="preserve"> позитиван утицај и на </w:t>
      </w:r>
      <w:r w:rsidR="007279A1" w:rsidRPr="004831AB">
        <w:rPr>
          <w:rFonts w:ascii="Times New Roman" w:hAnsi="Times New Roman" w:cs="Times New Roman"/>
          <w:sz w:val="24"/>
          <w:szCs w:val="24"/>
          <w:lang w:val="sr-Cyrl-CS"/>
        </w:rPr>
        <w:t xml:space="preserve">средине </w:t>
      </w:r>
      <w:r w:rsidR="00D32F3E" w:rsidRPr="004831AB">
        <w:rPr>
          <w:rFonts w:ascii="Times New Roman" w:hAnsi="Times New Roman" w:cs="Times New Roman"/>
          <w:sz w:val="24"/>
          <w:szCs w:val="24"/>
          <w:lang w:val="sr-Cyrl-CS"/>
        </w:rPr>
        <w:t xml:space="preserve">у којима </w:t>
      </w:r>
      <w:r w:rsidR="00041CE6" w:rsidRPr="004831AB">
        <w:rPr>
          <w:rFonts w:ascii="Times New Roman" w:hAnsi="Times New Roman" w:cs="Times New Roman"/>
          <w:sz w:val="24"/>
          <w:szCs w:val="24"/>
          <w:lang w:val="sr-Cyrl-CS"/>
        </w:rPr>
        <w:t>послују.</w:t>
      </w:r>
    </w:p>
    <w:p w14:paraId="0F5FF859" w14:textId="19C8252F" w:rsidR="00D32F3E" w:rsidRPr="004831AB" w:rsidRDefault="00D32F3E" w:rsidP="00203CF3">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Како предложене мере обухватају и подршку МСПП за озељењавање, енергетску ефикасност и одрживост, финансијску и нефинансијску </w:t>
      </w:r>
      <w:r w:rsidR="00350ADE" w:rsidRPr="004831AB">
        <w:rPr>
          <w:rFonts w:ascii="Times New Roman" w:hAnsi="Times New Roman" w:cs="Times New Roman"/>
          <w:sz w:val="24"/>
          <w:szCs w:val="24"/>
          <w:lang w:val="sr-Cyrl-CS"/>
        </w:rPr>
        <w:t xml:space="preserve">подршку </w:t>
      </w:r>
      <w:r w:rsidRPr="004831AB">
        <w:rPr>
          <w:rFonts w:ascii="Times New Roman" w:hAnsi="Times New Roman" w:cs="Times New Roman"/>
          <w:sz w:val="24"/>
          <w:szCs w:val="24"/>
          <w:lang w:val="sr-Cyrl-CS"/>
        </w:rPr>
        <w:t>кроз обуке, савете и информације, али и јачање свести о заштити животне средине, оне ће имати позитиван ефекат и на животну средину</w:t>
      </w:r>
      <w:r w:rsidR="00843A61" w:rsidRPr="004831AB">
        <w:rPr>
          <w:rFonts w:ascii="Times New Roman" w:hAnsi="Times New Roman" w:cs="Times New Roman"/>
          <w:sz w:val="24"/>
          <w:szCs w:val="24"/>
          <w:lang w:val="sr-Cyrl-CS"/>
        </w:rPr>
        <w:t xml:space="preserve">, то се </w:t>
      </w:r>
      <w:r w:rsidR="006B1CF5" w:rsidRPr="004831AB">
        <w:rPr>
          <w:rFonts w:ascii="Times New Roman" w:hAnsi="Times New Roman" w:cs="Times New Roman"/>
          <w:sz w:val="24"/>
          <w:szCs w:val="24"/>
          <w:lang w:val="sr-Cyrl-CS"/>
        </w:rPr>
        <w:t>о</w:t>
      </w:r>
      <w:r w:rsidRPr="004831AB">
        <w:rPr>
          <w:rFonts w:ascii="Times New Roman" w:hAnsi="Times New Roman" w:cs="Times New Roman"/>
          <w:sz w:val="24"/>
          <w:szCs w:val="24"/>
          <w:lang w:val="sr-Cyrl-CS"/>
        </w:rPr>
        <w:t>чекује смањење негативног утицаја овог сектора на квалитет воде, ваздуха и земљишта, као и унапређење управљања отпадом и</w:t>
      </w:r>
      <w:r w:rsidR="00843A61"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енергетск</w:t>
      </w:r>
      <w:r w:rsidR="0067427F" w:rsidRPr="004831AB">
        <w:rPr>
          <w:rFonts w:ascii="Times New Roman" w:hAnsi="Times New Roman" w:cs="Times New Roman"/>
          <w:sz w:val="24"/>
          <w:szCs w:val="24"/>
          <w:lang w:val="sr-Cyrl-CS"/>
        </w:rPr>
        <w:t>ом</w:t>
      </w:r>
      <w:r w:rsidRPr="004831AB">
        <w:rPr>
          <w:rFonts w:ascii="Times New Roman" w:hAnsi="Times New Roman" w:cs="Times New Roman"/>
          <w:sz w:val="24"/>
          <w:szCs w:val="24"/>
          <w:lang w:val="sr-Cyrl-CS"/>
        </w:rPr>
        <w:t xml:space="preserve"> ефикасно</w:t>
      </w:r>
      <w:r w:rsidR="0067427F" w:rsidRPr="004831AB">
        <w:rPr>
          <w:rFonts w:ascii="Times New Roman" w:hAnsi="Times New Roman" w:cs="Times New Roman"/>
          <w:sz w:val="24"/>
          <w:szCs w:val="24"/>
          <w:lang w:val="sr-Cyrl-CS"/>
        </w:rPr>
        <w:t>шћу</w:t>
      </w:r>
      <w:r w:rsidRPr="004831AB">
        <w:rPr>
          <w:rFonts w:ascii="Times New Roman" w:hAnsi="Times New Roman" w:cs="Times New Roman"/>
          <w:sz w:val="24"/>
          <w:szCs w:val="24"/>
          <w:lang w:val="sr-Cyrl-CS"/>
        </w:rPr>
        <w:t xml:space="preserve">. </w:t>
      </w:r>
    </w:p>
    <w:p w14:paraId="6FC71ECF" w14:textId="4EF5628F" w:rsidR="00994C5C" w:rsidRPr="004831AB" w:rsidRDefault="00D32F3E" w:rsidP="00953A4C">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Имајући све ово у виду, реализација мера и активности предвиђених у Стратегији и пратећем Акционом плану, допринеће унапређењу животног стандарда у Републици Србији, кроз</w:t>
      </w:r>
      <w:r w:rsidR="007279A1"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креирање нових радних места</w:t>
      </w:r>
      <w:r w:rsidR="007279A1" w:rsidRPr="004831AB">
        <w:rPr>
          <w:rFonts w:ascii="Times New Roman" w:hAnsi="Times New Roman" w:cs="Times New Roman"/>
          <w:sz w:val="24"/>
          <w:szCs w:val="24"/>
          <w:lang w:val="sr-Cyrl-CS"/>
        </w:rPr>
        <w:t xml:space="preserve">, допринос расту зарада </w:t>
      </w:r>
      <w:r w:rsidR="00360377" w:rsidRPr="004831AB">
        <w:rPr>
          <w:rFonts w:ascii="Times New Roman" w:hAnsi="Times New Roman" w:cs="Times New Roman"/>
          <w:sz w:val="24"/>
          <w:szCs w:val="24"/>
          <w:lang w:val="sr-Cyrl-CS"/>
        </w:rPr>
        <w:t xml:space="preserve">, али и </w:t>
      </w:r>
      <w:r w:rsidR="007279A1" w:rsidRPr="004831AB">
        <w:rPr>
          <w:rFonts w:ascii="Times New Roman" w:hAnsi="Times New Roman" w:cs="Times New Roman"/>
          <w:sz w:val="24"/>
          <w:szCs w:val="24"/>
          <w:lang w:val="sr-Cyrl-CS"/>
        </w:rPr>
        <w:t>у</w:t>
      </w:r>
      <w:r w:rsidR="00360377" w:rsidRPr="004831AB">
        <w:rPr>
          <w:rFonts w:ascii="Times New Roman" w:hAnsi="Times New Roman" w:cs="Times New Roman"/>
          <w:sz w:val="24"/>
          <w:szCs w:val="24"/>
          <w:lang w:val="sr-Cyrl-CS"/>
        </w:rPr>
        <w:t>већ</w:t>
      </w:r>
      <w:r w:rsidR="007279A1" w:rsidRPr="004831AB">
        <w:rPr>
          <w:rFonts w:ascii="Times New Roman" w:hAnsi="Times New Roman" w:cs="Times New Roman"/>
          <w:sz w:val="24"/>
          <w:szCs w:val="24"/>
          <w:lang w:val="sr-Cyrl-CS"/>
        </w:rPr>
        <w:t>ањ</w:t>
      </w:r>
      <w:r w:rsidR="00350ADE" w:rsidRPr="004831AB">
        <w:rPr>
          <w:rFonts w:ascii="Times New Roman" w:hAnsi="Times New Roman" w:cs="Times New Roman"/>
          <w:sz w:val="24"/>
          <w:szCs w:val="24"/>
          <w:lang w:val="sr-Cyrl-CS"/>
        </w:rPr>
        <w:t>у</w:t>
      </w:r>
      <w:r w:rsidR="007279A1" w:rsidRPr="004831AB">
        <w:rPr>
          <w:rFonts w:ascii="Times New Roman" w:hAnsi="Times New Roman" w:cs="Times New Roman"/>
          <w:sz w:val="24"/>
          <w:szCs w:val="24"/>
          <w:lang w:val="sr-Cyrl-CS"/>
        </w:rPr>
        <w:t xml:space="preserve"> пореских</w:t>
      </w:r>
      <w:r w:rsidR="00360377" w:rsidRPr="004831AB">
        <w:rPr>
          <w:rFonts w:ascii="Times New Roman" w:hAnsi="Times New Roman" w:cs="Times New Roman"/>
          <w:sz w:val="24"/>
          <w:szCs w:val="24"/>
          <w:lang w:val="sr-Cyrl-CS"/>
        </w:rPr>
        <w:t xml:space="preserve"> прихода. </w:t>
      </w:r>
    </w:p>
    <w:p w14:paraId="44F5D90B" w14:textId="7BCA4EFB" w:rsidR="00BC105B" w:rsidRPr="004831AB" w:rsidRDefault="009F0BBB" w:rsidP="00203CF3">
      <w:pPr>
        <w:pStyle w:val="Heading1"/>
        <w:jc w:val="center"/>
        <w:rPr>
          <w:b w:val="0"/>
          <w:sz w:val="24"/>
          <w:szCs w:val="24"/>
          <w:lang w:val="sr-Cyrl-CS"/>
        </w:rPr>
      </w:pPr>
      <w:r w:rsidRPr="004831AB">
        <w:rPr>
          <w:b w:val="0"/>
          <w:sz w:val="24"/>
          <w:szCs w:val="24"/>
          <w:lang w:val="sr-Cyrl-CS"/>
        </w:rPr>
        <w:t>Механизам за спровођење стратегије</w:t>
      </w:r>
      <w:r w:rsidR="00BC105B" w:rsidRPr="004831AB">
        <w:rPr>
          <w:b w:val="0"/>
          <w:sz w:val="24"/>
          <w:szCs w:val="24"/>
          <w:lang w:val="sr-Cyrl-CS"/>
        </w:rPr>
        <w:t xml:space="preserve"> и начин извештавања о резултатима спровођења</w:t>
      </w:r>
    </w:p>
    <w:p w14:paraId="26945FED" w14:textId="6B211325"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 xml:space="preserve">Министарство надлежно за послове привреде, задужено је за </w:t>
      </w:r>
      <w:r w:rsidR="004608D8" w:rsidRPr="004831AB">
        <w:rPr>
          <w:rFonts w:ascii="Times New Roman" w:hAnsi="Times New Roman"/>
          <w:bCs/>
          <w:sz w:val="24"/>
          <w:szCs w:val="24"/>
          <w:lang w:val="sr-Cyrl-CS"/>
        </w:rPr>
        <w:t>управљање</w:t>
      </w:r>
      <w:r w:rsidR="001F25AD" w:rsidRPr="004831AB">
        <w:rPr>
          <w:rFonts w:ascii="Times New Roman" w:hAnsi="Times New Roman"/>
          <w:bCs/>
          <w:sz w:val="24"/>
          <w:szCs w:val="24"/>
          <w:lang w:val="sr-Cyrl-CS"/>
        </w:rPr>
        <w:t xml:space="preserve"> </w:t>
      </w:r>
      <w:r w:rsidR="004608D8" w:rsidRPr="004831AB">
        <w:rPr>
          <w:rFonts w:ascii="Times New Roman" w:hAnsi="Times New Roman"/>
          <w:b/>
          <w:bCs/>
          <w:sz w:val="24"/>
          <w:szCs w:val="24"/>
          <w:lang w:val="sr-Cyrl-CS"/>
        </w:rPr>
        <w:t xml:space="preserve"> </w:t>
      </w:r>
      <w:r w:rsidR="001F25AD" w:rsidRPr="004831AB">
        <w:rPr>
          <w:rFonts w:ascii="Times New Roman" w:hAnsi="Times New Roman"/>
          <w:sz w:val="24"/>
          <w:szCs w:val="24"/>
          <w:lang w:val="sr-Cyrl-CS"/>
        </w:rPr>
        <w:t>спровођење</w:t>
      </w:r>
      <w:r w:rsidR="0022508C">
        <w:rPr>
          <w:rFonts w:ascii="Times New Roman" w:hAnsi="Times New Roman"/>
          <w:sz w:val="24"/>
          <w:szCs w:val="24"/>
          <w:lang w:val="sr-Cyrl-CS"/>
        </w:rPr>
        <w:t>м</w:t>
      </w:r>
      <w:r w:rsidR="004608D8" w:rsidRPr="004831AB">
        <w:rPr>
          <w:rFonts w:ascii="Times New Roman" w:hAnsi="Times New Roman"/>
          <w:sz w:val="24"/>
          <w:szCs w:val="24"/>
          <w:lang w:val="sr-Cyrl-CS"/>
        </w:rPr>
        <w:t xml:space="preserve"> Стратегије и пратећег Акционог плана за координацију спровођења са другим органима државне управе, институцијама јавне управе и</w:t>
      </w:r>
      <w:r w:rsidR="007511D3" w:rsidRPr="004831AB">
        <w:rPr>
          <w:rFonts w:ascii="Times New Roman" w:hAnsi="Times New Roman"/>
          <w:sz w:val="24"/>
          <w:szCs w:val="24"/>
          <w:lang w:val="sr-Cyrl-CS"/>
        </w:rPr>
        <w:t xml:space="preserve"> организацијама</w:t>
      </w:r>
      <w:r w:rsidR="004608D8" w:rsidRPr="004831AB">
        <w:rPr>
          <w:rFonts w:ascii="Times New Roman" w:hAnsi="Times New Roman"/>
          <w:sz w:val="24"/>
          <w:szCs w:val="24"/>
          <w:lang w:val="sr-Cyrl-CS"/>
        </w:rPr>
        <w:t>, као и за спровођење Стратегије у оним деловима у којима је препознат</w:t>
      </w:r>
      <w:r w:rsidR="007511D3" w:rsidRPr="004831AB">
        <w:rPr>
          <w:rFonts w:ascii="Times New Roman" w:hAnsi="Times New Roman"/>
          <w:sz w:val="24"/>
          <w:szCs w:val="24"/>
          <w:lang w:val="sr-Cyrl-CS"/>
        </w:rPr>
        <w:t>о</w:t>
      </w:r>
      <w:r w:rsidR="004608D8" w:rsidRPr="004831AB">
        <w:rPr>
          <w:rFonts w:ascii="Times New Roman" w:hAnsi="Times New Roman"/>
          <w:sz w:val="24"/>
          <w:szCs w:val="24"/>
          <w:lang w:val="sr-Cyrl-CS"/>
        </w:rPr>
        <w:t xml:space="preserve"> као институција надлежна за спровођење одређених мера и активности. Такође, Министарство надлежно за послове привреде прати спровођење Стратегије на основу кван</w:t>
      </w:r>
      <w:r w:rsidR="004831AB">
        <w:rPr>
          <w:rFonts w:ascii="Times New Roman" w:hAnsi="Times New Roman"/>
          <w:sz w:val="24"/>
          <w:szCs w:val="24"/>
          <w:lang w:val="sr-Cyrl-CS"/>
        </w:rPr>
        <w:t>т</w:t>
      </w:r>
      <w:r w:rsidR="004608D8" w:rsidRPr="004831AB">
        <w:rPr>
          <w:rFonts w:ascii="Times New Roman" w:hAnsi="Times New Roman"/>
          <w:sz w:val="24"/>
          <w:szCs w:val="24"/>
          <w:lang w:val="sr-Cyrl-CS"/>
        </w:rPr>
        <w:t xml:space="preserve">итативних и квалитативних показатеља учинка циљева и мера Стратегије. </w:t>
      </w:r>
    </w:p>
    <w:p w14:paraId="2530D447" w14:textId="21C5D95B"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У складу са чланом 18. став 2. Закона о планском систему</w:t>
      </w:r>
      <w:r w:rsidR="004C037D" w:rsidRPr="004831AB">
        <w:rPr>
          <w:rFonts w:ascii="Times New Roman" w:hAnsi="Times New Roman"/>
          <w:sz w:val="24"/>
          <w:szCs w:val="24"/>
          <w:lang w:val="sr-Cyrl-CS"/>
        </w:rPr>
        <w:t xml:space="preserve"> </w:t>
      </w:r>
      <w:bookmarkStart w:id="12" w:name="_Hlk149404357"/>
      <w:r w:rsidR="004C037D" w:rsidRPr="004831AB">
        <w:rPr>
          <w:rFonts w:ascii="Times New Roman" w:hAnsi="Times New Roman"/>
          <w:sz w:val="24"/>
          <w:szCs w:val="24"/>
          <w:lang w:val="sr-Cyrl-CS"/>
        </w:rPr>
        <w:t>Републике Србије</w:t>
      </w:r>
      <w:bookmarkEnd w:id="12"/>
      <w:r w:rsidR="004608D8" w:rsidRPr="004831AB">
        <w:rPr>
          <w:rFonts w:ascii="Times New Roman" w:hAnsi="Times New Roman"/>
          <w:sz w:val="24"/>
          <w:szCs w:val="24"/>
          <w:lang w:val="sr-Cyrl-CS"/>
        </w:rPr>
        <w:t>, припремљен је Акциони план којим су мере Стратегије детаљно разрађене. Акциони план који се усваја заједно са Стратегијом припремљен је за период имплементације од две године односно за период 2023 – 2024. године. Након истека важења овог акционог плана, министарство надлежно за послове привреде ће сачинити извештај о реализацији Акционог плана и припремиће нови акциони план за наредни трогодишњи период (2025-2027. године). Заједно са извештајем о реализацији, може се извршити периодична (</w:t>
      </w:r>
      <w:r w:rsidR="004608D8" w:rsidRPr="004831AB">
        <w:rPr>
          <w:rFonts w:ascii="Times New Roman" w:hAnsi="Times New Roman"/>
          <w:i/>
          <w:iCs/>
          <w:sz w:val="24"/>
          <w:szCs w:val="24"/>
          <w:lang w:val="sr-Cyrl-CS"/>
        </w:rPr>
        <w:t>mid-term</w:t>
      </w:r>
      <w:r w:rsidR="004608D8" w:rsidRPr="004831AB">
        <w:rPr>
          <w:rFonts w:ascii="Times New Roman" w:hAnsi="Times New Roman"/>
          <w:sz w:val="24"/>
          <w:szCs w:val="24"/>
          <w:lang w:val="sr-Cyrl-CS"/>
        </w:rPr>
        <w:t>) евалуација Стратегије, како би се сагледали ефекти спровођења Стратегије у посматраном периоду и потенцијално предвиделе корекције јавне политике које се могу интегрисати у следећи, трогодишњи Акциони план.</w:t>
      </w:r>
    </w:p>
    <w:p w14:paraId="5D4C5EB7" w14:textId="6D3F6C80"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Министарство надлежно за послове привреде ће директно пратити активности за чију реализацију је непосредно одговорн</w:t>
      </w:r>
      <w:r w:rsidR="007511D3" w:rsidRPr="004831AB">
        <w:rPr>
          <w:rFonts w:ascii="Times New Roman" w:hAnsi="Times New Roman"/>
          <w:sz w:val="24"/>
          <w:szCs w:val="24"/>
          <w:lang w:val="sr-Cyrl-CS"/>
        </w:rPr>
        <w:t>о</w:t>
      </w:r>
      <w:r w:rsidR="004608D8" w:rsidRPr="004831AB">
        <w:rPr>
          <w:rFonts w:ascii="Times New Roman" w:hAnsi="Times New Roman"/>
          <w:sz w:val="24"/>
          <w:szCs w:val="24"/>
          <w:lang w:val="sr-Cyrl-CS"/>
        </w:rPr>
        <w:t>. Активности које непосредно реализују друга министарства, институције и организације, Министарство привреде прати посредно, преко њихових извештаја.</w:t>
      </w:r>
    </w:p>
    <w:p w14:paraId="55DA71CA" w14:textId="7C3982E3"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Извештавање о спровођењу активности и мера дефинисаних Стратегијом и пратећим Акционим план</w:t>
      </w:r>
      <w:r w:rsidR="00DC4D01" w:rsidRPr="004831AB">
        <w:rPr>
          <w:rFonts w:ascii="Times New Roman" w:hAnsi="Times New Roman"/>
          <w:sz w:val="24"/>
          <w:szCs w:val="24"/>
          <w:lang w:val="sr-Cyrl-CS"/>
        </w:rPr>
        <w:t>ом</w:t>
      </w:r>
      <w:r w:rsidR="004608D8" w:rsidRPr="004831AB">
        <w:rPr>
          <w:rFonts w:ascii="Times New Roman" w:hAnsi="Times New Roman"/>
          <w:sz w:val="24"/>
          <w:szCs w:val="24"/>
          <w:lang w:val="sr-Cyrl-CS"/>
        </w:rPr>
        <w:t xml:space="preserve"> врши се у складу са чланом 43. Закона о планском систему</w:t>
      </w:r>
      <w:r w:rsidR="005210F5" w:rsidRPr="004831AB">
        <w:rPr>
          <w:rFonts w:ascii="Times New Roman" w:hAnsi="Times New Roman"/>
          <w:color w:val="FF0000"/>
          <w:sz w:val="24"/>
          <w:szCs w:val="24"/>
          <w:lang w:val="sr-Cyrl-CS"/>
        </w:rPr>
        <w:t xml:space="preserve"> </w:t>
      </w:r>
      <w:r w:rsidR="005210F5" w:rsidRPr="004831AB">
        <w:rPr>
          <w:rFonts w:ascii="Times New Roman" w:hAnsi="Times New Roman"/>
          <w:sz w:val="24"/>
          <w:szCs w:val="24"/>
          <w:lang w:val="sr-Cyrl-CS"/>
        </w:rPr>
        <w:t>Републике Србије</w:t>
      </w:r>
      <w:r w:rsidR="004608D8" w:rsidRPr="004831AB">
        <w:rPr>
          <w:rFonts w:ascii="Times New Roman" w:hAnsi="Times New Roman"/>
          <w:sz w:val="24"/>
          <w:szCs w:val="24"/>
          <w:lang w:val="sr-Cyrl-CS"/>
        </w:rPr>
        <w:t xml:space="preserve">. Сви органи односно институције, носиоци спровођења појединачних мера и активности наведени у тексту Стратегије и у Акционом плану, као и они који су препознати </w:t>
      </w:r>
      <w:r w:rsidR="004608D8" w:rsidRPr="004831AB">
        <w:rPr>
          <w:rFonts w:ascii="Times New Roman" w:hAnsi="Times New Roman"/>
          <w:sz w:val="24"/>
          <w:szCs w:val="24"/>
          <w:lang w:val="sr-Cyrl-CS"/>
        </w:rPr>
        <w:lastRenderedPageBreak/>
        <w:t>као партнери у спровођењу, једном годишње извештавају министарство надлежно за послове привреде о сп</w:t>
      </w:r>
      <w:r w:rsidR="004831AB">
        <w:rPr>
          <w:rFonts w:ascii="Times New Roman" w:hAnsi="Times New Roman"/>
          <w:sz w:val="24"/>
          <w:szCs w:val="24"/>
          <w:lang w:val="sr-Cyrl-CS"/>
        </w:rPr>
        <w:t>р</w:t>
      </w:r>
      <w:r w:rsidR="004608D8" w:rsidRPr="004831AB">
        <w:rPr>
          <w:rFonts w:ascii="Times New Roman" w:hAnsi="Times New Roman"/>
          <w:sz w:val="24"/>
          <w:szCs w:val="24"/>
          <w:lang w:val="sr-Cyrl-CS"/>
        </w:rPr>
        <w:t xml:space="preserve">овођењу мера и активности. </w:t>
      </w:r>
    </w:p>
    <w:p w14:paraId="384C2E05" w14:textId="6D344C1D"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Министарство надлежно за послове привреде извештава Владу преко органа државне управе надлежног за координацију јавних политика о резултатима спровођења Акционог плана, а у складу са роковима прописаним Законом о планском систему</w:t>
      </w:r>
      <w:r w:rsidR="00D250A0" w:rsidRPr="004831AB">
        <w:rPr>
          <w:rFonts w:ascii="Times New Roman" w:hAnsi="Times New Roman"/>
          <w:color w:val="FF0000"/>
          <w:sz w:val="24"/>
          <w:szCs w:val="24"/>
          <w:lang w:val="sr-Cyrl-CS"/>
        </w:rPr>
        <w:t xml:space="preserve"> </w:t>
      </w:r>
      <w:r w:rsidR="00D250A0" w:rsidRPr="004831AB">
        <w:rPr>
          <w:rFonts w:ascii="Times New Roman" w:hAnsi="Times New Roman"/>
          <w:sz w:val="24"/>
          <w:szCs w:val="24"/>
          <w:lang w:val="sr-Cyrl-CS"/>
        </w:rPr>
        <w:t>Републике Србије</w:t>
      </w:r>
      <w:r w:rsidR="004608D8" w:rsidRPr="004831AB">
        <w:rPr>
          <w:rFonts w:ascii="Times New Roman" w:hAnsi="Times New Roman"/>
          <w:sz w:val="24"/>
          <w:szCs w:val="24"/>
          <w:lang w:val="sr-Cyrl-CS"/>
        </w:rPr>
        <w:t>, односно најкасније 120 дана по истеку календарске године. Такође, министарс</w:t>
      </w:r>
      <w:r w:rsidR="007355DB" w:rsidRPr="004831AB">
        <w:rPr>
          <w:rFonts w:ascii="Times New Roman" w:hAnsi="Times New Roman"/>
          <w:sz w:val="24"/>
          <w:szCs w:val="24"/>
          <w:lang w:val="sr-Cyrl-CS"/>
        </w:rPr>
        <w:t>т</w:t>
      </w:r>
      <w:r w:rsidR="004608D8" w:rsidRPr="004831AB">
        <w:rPr>
          <w:rFonts w:ascii="Times New Roman" w:hAnsi="Times New Roman"/>
          <w:sz w:val="24"/>
          <w:szCs w:val="24"/>
          <w:lang w:val="sr-Cyrl-CS"/>
        </w:rPr>
        <w:t xml:space="preserve">во надлежно за послове привреде извештава </w:t>
      </w:r>
      <w:r w:rsidR="00DC4D01" w:rsidRPr="004831AB">
        <w:rPr>
          <w:rFonts w:ascii="Times New Roman" w:hAnsi="Times New Roman"/>
          <w:sz w:val="24"/>
          <w:szCs w:val="24"/>
          <w:lang w:val="sr-Cyrl-CS"/>
        </w:rPr>
        <w:t xml:space="preserve">Владу </w:t>
      </w:r>
      <w:r w:rsidR="004608D8" w:rsidRPr="004831AB">
        <w:rPr>
          <w:rFonts w:ascii="Times New Roman" w:hAnsi="Times New Roman"/>
          <w:sz w:val="24"/>
          <w:szCs w:val="24"/>
          <w:lang w:val="sr-Cyrl-CS"/>
        </w:rPr>
        <w:t>о резултатима спровођења Стратегије у року од 120 дана по истеку сваке треће календарске године од дана њеног усвајања и доставља финални извештај о реализацији Стратегије најкасније шест месеци након истека периода примене Стратегије.</w:t>
      </w:r>
    </w:p>
    <w:p w14:paraId="5D8E5546" w14:textId="7829BB72" w:rsidR="004608D8" w:rsidRPr="004831AB" w:rsidRDefault="001A4F3A" w:rsidP="004608D8">
      <w:pPr>
        <w:tabs>
          <w:tab w:val="left" w:pos="99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4608D8" w:rsidRPr="004831AB">
        <w:rPr>
          <w:rFonts w:ascii="Times New Roman" w:hAnsi="Times New Roman"/>
          <w:sz w:val="24"/>
          <w:szCs w:val="24"/>
          <w:lang w:val="sr-Cyrl-CS"/>
        </w:rPr>
        <w:t>У процесу праћења спровођења мера и активности Стратегије, као и припреме годишњих извештаја, надлежни органи ће користити јединствени информациони систем и његове расположиве фун</w:t>
      </w:r>
      <w:r w:rsidR="004831AB">
        <w:rPr>
          <w:rFonts w:ascii="Times New Roman" w:hAnsi="Times New Roman"/>
          <w:sz w:val="24"/>
          <w:szCs w:val="24"/>
          <w:lang w:val="sr-Cyrl-CS"/>
        </w:rPr>
        <w:t>к</w:t>
      </w:r>
      <w:r w:rsidR="004608D8" w:rsidRPr="004831AB">
        <w:rPr>
          <w:rFonts w:ascii="Times New Roman" w:hAnsi="Times New Roman"/>
          <w:sz w:val="24"/>
          <w:szCs w:val="24"/>
          <w:lang w:val="sr-Cyrl-CS"/>
        </w:rPr>
        <w:t>ционалности, а сви носиоци реализације мера и активности ће преко тог система достављати извештаје министарству надлежном за послове привреде. Уколико институц</w:t>
      </w:r>
      <w:r w:rsidR="00DC4D01" w:rsidRPr="004831AB">
        <w:rPr>
          <w:rFonts w:ascii="Times New Roman" w:hAnsi="Times New Roman"/>
          <w:sz w:val="24"/>
          <w:szCs w:val="24"/>
          <w:lang w:val="sr-Cyrl-CS"/>
        </w:rPr>
        <w:t>и</w:t>
      </w:r>
      <w:r w:rsidR="004608D8" w:rsidRPr="004831AB">
        <w:rPr>
          <w:rFonts w:ascii="Times New Roman" w:hAnsi="Times New Roman"/>
          <w:sz w:val="24"/>
          <w:szCs w:val="24"/>
          <w:lang w:val="sr-Cyrl-CS"/>
        </w:rPr>
        <w:t xml:space="preserve">је и организације које су препознати као реализатори мера и активности или партнери у њиховом спровођењу немају приступ јединственом информационом систему, министарство надлежно за послове привреде ће прикупити податке о реализованим активностима и унети их у систем. </w:t>
      </w:r>
    </w:p>
    <w:p w14:paraId="386A4801" w14:textId="7DF61241" w:rsidR="004608D8" w:rsidRPr="004831AB" w:rsidRDefault="001A4F3A" w:rsidP="001A4F3A">
      <w:pPr>
        <w:tabs>
          <w:tab w:val="left" w:pos="993"/>
          <w:tab w:val="left" w:pos="1418"/>
        </w:tabs>
        <w:jc w:val="both"/>
        <w:rPr>
          <w:lang w:val="sr-Cyrl-CS"/>
        </w:rPr>
      </w:pPr>
      <w:r w:rsidRPr="004831AB">
        <w:rPr>
          <w:rFonts w:ascii="Times New Roman" w:hAnsi="Times New Roman"/>
          <w:sz w:val="24"/>
          <w:szCs w:val="24"/>
          <w:lang w:val="sr-Cyrl-CS"/>
        </w:rPr>
        <w:t xml:space="preserve">               </w:t>
      </w:r>
      <w:r w:rsidR="004608D8" w:rsidRPr="004831AB">
        <w:rPr>
          <w:rFonts w:ascii="Times New Roman" w:hAnsi="Times New Roman"/>
          <w:sz w:val="24"/>
          <w:szCs w:val="24"/>
          <w:lang w:val="sr-Cyrl-CS"/>
        </w:rPr>
        <w:t>Поред тога, министарство надлежно за послове привреде ће на годишњем нивоу информисати и приватни сектор, односно МСПП,  као и заинтересоване стране о реализацији Стратегије и оствареним резултатима</w:t>
      </w:r>
      <w:r w:rsidR="00DC4D01" w:rsidRPr="004831AB">
        <w:rPr>
          <w:rFonts w:ascii="Times New Roman" w:hAnsi="Times New Roman"/>
          <w:sz w:val="24"/>
          <w:szCs w:val="24"/>
          <w:lang w:val="sr-Cyrl-CS"/>
        </w:rPr>
        <w:t>,</w:t>
      </w:r>
      <w:r w:rsidR="004608D8" w:rsidRPr="004831AB">
        <w:rPr>
          <w:rFonts w:ascii="Times New Roman" w:hAnsi="Times New Roman"/>
          <w:sz w:val="24"/>
          <w:szCs w:val="24"/>
          <w:lang w:val="sr-Cyrl-CS"/>
        </w:rPr>
        <w:t xml:space="preserve"> а са циљем настављања дијалога и сарадње.</w:t>
      </w:r>
    </w:p>
    <w:p w14:paraId="60592594" w14:textId="692D01F5" w:rsidR="00BC105B" w:rsidRPr="004831AB" w:rsidRDefault="00EE0028" w:rsidP="001A4F3A">
      <w:pPr>
        <w:pStyle w:val="Heading1"/>
        <w:jc w:val="center"/>
        <w:rPr>
          <w:b w:val="0"/>
          <w:sz w:val="24"/>
          <w:szCs w:val="24"/>
          <w:lang w:val="sr-Cyrl-CS"/>
        </w:rPr>
      </w:pPr>
      <w:r w:rsidRPr="004831AB">
        <w:rPr>
          <w:b w:val="0"/>
          <w:sz w:val="24"/>
          <w:szCs w:val="24"/>
          <w:lang w:val="sr-Cyrl-CS"/>
        </w:rPr>
        <w:t>Спроведене к</w:t>
      </w:r>
      <w:r w:rsidR="00BC105B" w:rsidRPr="004831AB">
        <w:rPr>
          <w:b w:val="0"/>
          <w:sz w:val="24"/>
          <w:szCs w:val="24"/>
          <w:lang w:val="sr-Cyrl-CS"/>
        </w:rPr>
        <w:t>онсултације</w:t>
      </w:r>
      <w:r w:rsidR="00F562EE" w:rsidRPr="004831AB">
        <w:rPr>
          <w:b w:val="0"/>
          <w:sz w:val="24"/>
          <w:szCs w:val="24"/>
          <w:lang w:val="sr-Cyrl-CS"/>
        </w:rPr>
        <w:t xml:space="preserve"> са заинтересованим странама</w:t>
      </w:r>
    </w:p>
    <w:p w14:paraId="57038916" w14:textId="7B363A2A" w:rsidR="00C86D23"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C86D23" w:rsidRPr="004831AB">
        <w:rPr>
          <w:rFonts w:ascii="Times New Roman" w:hAnsi="Times New Roman"/>
          <w:sz w:val="24"/>
          <w:szCs w:val="24"/>
          <w:lang w:val="sr-Cyrl-CS"/>
        </w:rPr>
        <w:t xml:space="preserve">Консултације са свим заинтересованим странама спровођене су </w:t>
      </w:r>
      <w:r w:rsidR="00EC0426" w:rsidRPr="004831AB">
        <w:rPr>
          <w:rFonts w:ascii="Times New Roman" w:hAnsi="Times New Roman"/>
          <w:sz w:val="24"/>
          <w:szCs w:val="24"/>
          <w:lang w:val="sr-Cyrl-CS"/>
        </w:rPr>
        <w:t>током</w:t>
      </w:r>
      <w:r w:rsidR="007511D3" w:rsidRPr="004831AB">
        <w:rPr>
          <w:rFonts w:ascii="Times New Roman" w:hAnsi="Times New Roman"/>
          <w:sz w:val="24"/>
          <w:szCs w:val="24"/>
          <w:lang w:val="sr-Cyrl-CS"/>
        </w:rPr>
        <w:t xml:space="preserve"> свих фаза</w:t>
      </w:r>
      <w:r w:rsidR="00C86D23" w:rsidRPr="004831AB">
        <w:rPr>
          <w:rFonts w:ascii="Times New Roman" w:hAnsi="Times New Roman"/>
          <w:sz w:val="24"/>
          <w:szCs w:val="24"/>
          <w:lang w:val="sr-Cyrl-CS"/>
        </w:rPr>
        <w:t xml:space="preserve"> трајања процеса израде </w:t>
      </w:r>
      <w:r w:rsidR="0068357B" w:rsidRPr="004831AB">
        <w:rPr>
          <w:rFonts w:ascii="Times New Roman" w:hAnsi="Times New Roman"/>
          <w:sz w:val="24"/>
          <w:szCs w:val="24"/>
          <w:lang w:val="sr-Cyrl-CS"/>
        </w:rPr>
        <w:t>С</w:t>
      </w:r>
      <w:r w:rsidR="00C86D23" w:rsidRPr="004831AB">
        <w:rPr>
          <w:rFonts w:ascii="Times New Roman" w:hAnsi="Times New Roman"/>
          <w:sz w:val="24"/>
          <w:szCs w:val="24"/>
          <w:lang w:val="sr-Cyrl-CS"/>
        </w:rPr>
        <w:t xml:space="preserve">тратегије. </w:t>
      </w:r>
      <w:r w:rsidR="009B6E1F" w:rsidRPr="004831AB">
        <w:rPr>
          <w:rFonts w:ascii="Times New Roman" w:hAnsi="Times New Roman"/>
          <w:sz w:val="24"/>
          <w:szCs w:val="24"/>
          <w:lang w:val="sr-Cyrl-CS"/>
        </w:rPr>
        <w:t xml:space="preserve">Почетак процеса израде Стратегије оглашен је на порталу еКонсултације, где су потом објављивани и сви </w:t>
      </w:r>
      <w:r w:rsidR="007511D3" w:rsidRPr="004831AB">
        <w:rPr>
          <w:rFonts w:ascii="Times New Roman" w:hAnsi="Times New Roman"/>
          <w:sz w:val="24"/>
          <w:szCs w:val="24"/>
          <w:lang w:val="sr-Cyrl-CS"/>
        </w:rPr>
        <w:t xml:space="preserve">документи </w:t>
      </w:r>
      <w:r w:rsidR="009B6E1F" w:rsidRPr="004831AB">
        <w:rPr>
          <w:rFonts w:ascii="Times New Roman" w:hAnsi="Times New Roman"/>
          <w:sz w:val="24"/>
          <w:szCs w:val="24"/>
          <w:lang w:val="sr-Cyrl-CS"/>
        </w:rPr>
        <w:t>настали у оквиру припреме Стратегије. У периоду 1 – 30. јун</w:t>
      </w:r>
      <w:r w:rsidR="001E43DE" w:rsidRPr="004831AB">
        <w:rPr>
          <w:rFonts w:ascii="Times New Roman" w:hAnsi="Times New Roman"/>
          <w:sz w:val="24"/>
          <w:szCs w:val="24"/>
          <w:lang w:val="sr-Cyrl-CS"/>
        </w:rPr>
        <w:t>а</w:t>
      </w:r>
      <w:r w:rsidR="009B6E1F" w:rsidRPr="004831AB">
        <w:rPr>
          <w:rFonts w:ascii="Times New Roman" w:hAnsi="Times New Roman"/>
          <w:sz w:val="24"/>
          <w:szCs w:val="24"/>
          <w:lang w:val="sr-Cyrl-CS"/>
        </w:rPr>
        <w:t xml:space="preserve"> 2022. године, сва заинтересована лица </w:t>
      </w:r>
      <w:r w:rsidR="00EC0426" w:rsidRPr="004831AB">
        <w:rPr>
          <w:rFonts w:ascii="Times New Roman" w:hAnsi="Times New Roman"/>
          <w:sz w:val="24"/>
          <w:szCs w:val="24"/>
          <w:lang w:val="sr-Cyrl-CS"/>
        </w:rPr>
        <w:t>су била у могућности</w:t>
      </w:r>
      <w:r w:rsidR="009B6E1F" w:rsidRPr="004831AB">
        <w:rPr>
          <w:rFonts w:ascii="Times New Roman" w:hAnsi="Times New Roman"/>
          <w:sz w:val="24"/>
          <w:szCs w:val="24"/>
          <w:lang w:val="sr-Cyrl-CS"/>
        </w:rPr>
        <w:t xml:space="preserve"> да доставе своје коментаре, сугестије и доприносе за Стратегију, као и предлоге за приоритете и мере, преко наведеног портала. </w:t>
      </w:r>
    </w:p>
    <w:p w14:paraId="3DAF0787" w14:textId="0D6A9626" w:rsidR="00776727"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 xml:space="preserve">Да би се осигурало укључивање свих учесника, обезбедила инклузивност и пружила једнака шанса присутнима да дају свој допринос и сугестије, ЈПД у процесу израде </w:t>
      </w:r>
      <w:r w:rsidR="001052C7" w:rsidRPr="004831AB">
        <w:rPr>
          <w:rFonts w:ascii="Times New Roman" w:hAnsi="Times New Roman"/>
          <w:sz w:val="24"/>
          <w:szCs w:val="24"/>
          <w:lang w:val="sr-Cyrl-CS"/>
        </w:rPr>
        <w:t xml:space="preserve">Стратегије </w:t>
      </w:r>
      <w:r w:rsidR="00776727" w:rsidRPr="004831AB">
        <w:rPr>
          <w:rFonts w:ascii="Times New Roman" w:hAnsi="Times New Roman"/>
          <w:sz w:val="24"/>
          <w:szCs w:val="24"/>
          <w:lang w:val="sr-Cyrl-CS"/>
        </w:rPr>
        <w:t xml:space="preserve">је организован и спроведен у форми светског кафеа (енгл. </w:t>
      </w:r>
      <w:r w:rsidR="00776727" w:rsidRPr="004831AB">
        <w:rPr>
          <w:rFonts w:ascii="Times New Roman" w:hAnsi="Times New Roman"/>
          <w:i/>
          <w:sz w:val="24"/>
          <w:szCs w:val="24"/>
          <w:lang w:val="sr-Cyrl-CS"/>
        </w:rPr>
        <w:t>World Café</w:t>
      </w:r>
      <w:r w:rsidR="00776727" w:rsidRPr="004831AB">
        <w:rPr>
          <w:rFonts w:ascii="Times New Roman" w:hAnsi="Times New Roman"/>
          <w:sz w:val="24"/>
          <w:szCs w:val="24"/>
          <w:lang w:val="sr-Cyrl-CS"/>
        </w:rPr>
        <w:t xml:space="preserve">). </w:t>
      </w:r>
      <w:r w:rsidR="00776727" w:rsidRPr="004831AB">
        <w:rPr>
          <w:rFonts w:ascii="Times New Roman" w:hAnsi="Times New Roman"/>
          <w:i/>
          <w:sz w:val="24"/>
          <w:szCs w:val="24"/>
          <w:lang w:val="sr-Cyrl-CS"/>
        </w:rPr>
        <w:t>World Café</w:t>
      </w:r>
      <w:r w:rsidR="00776727" w:rsidRPr="004831AB">
        <w:rPr>
          <w:rFonts w:ascii="Times New Roman" w:hAnsi="Times New Roman"/>
          <w:sz w:val="24"/>
          <w:szCs w:val="24"/>
          <w:lang w:val="sr-Cyrl-CS"/>
        </w:rPr>
        <w:t xml:space="preserve"> je једноставан и напредан метод за организацију дискусије и дијалога око важних питања. То је алат који подстиче интеракцију свих учесника и поспешује дубљи ангажман свих присутних. </w:t>
      </w:r>
      <w:r w:rsidR="00327379" w:rsidRPr="009A6A52">
        <w:rPr>
          <w:rFonts w:ascii="Times New Roman" w:hAnsi="Times New Roman"/>
          <w:bCs/>
          <w:sz w:val="24"/>
          <w:szCs w:val="24"/>
          <w:lang w:val="sr-Cyrl-CS"/>
        </w:rPr>
        <w:t>Д</w:t>
      </w:r>
      <w:r w:rsidR="00776727" w:rsidRPr="004831AB">
        <w:rPr>
          <w:rFonts w:ascii="Times New Roman" w:hAnsi="Times New Roman"/>
          <w:sz w:val="24"/>
          <w:szCs w:val="24"/>
          <w:lang w:val="sr-Cyrl-CS"/>
        </w:rPr>
        <w:t xml:space="preserve">огађај у Београду, којим је званично започет процес ЈПД, организован </w:t>
      </w:r>
      <w:r w:rsidR="00327379" w:rsidRPr="004831AB">
        <w:rPr>
          <w:rFonts w:ascii="Times New Roman" w:hAnsi="Times New Roman"/>
          <w:sz w:val="24"/>
          <w:szCs w:val="24"/>
          <w:lang w:val="sr-Cyrl-CS"/>
        </w:rPr>
        <w:t xml:space="preserve">је </w:t>
      </w:r>
      <w:r w:rsidR="00776727" w:rsidRPr="004831AB">
        <w:rPr>
          <w:rFonts w:ascii="Times New Roman" w:hAnsi="Times New Roman"/>
          <w:sz w:val="24"/>
          <w:szCs w:val="24"/>
          <w:lang w:val="sr-Cyrl-CS"/>
        </w:rPr>
        <w:t xml:space="preserve">у формалнијем облику, уз присуство </w:t>
      </w:r>
      <w:r w:rsidR="00EC0426" w:rsidRPr="004831AB">
        <w:rPr>
          <w:rFonts w:ascii="Times New Roman" w:hAnsi="Times New Roman"/>
          <w:sz w:val="24"/>
          <w:szCs w:val="24"/>
          <w:lang w:val="sr-Cyrl-CS"/>
        </w:rPr>
        <w:t xml:space="preserve">представника </w:t>
      </w:r>
      <w:r w:rsidR="00776727" w:rsidRPr="004831AB">
        <w:rPr>
          <w:rFonts w:ascii="Times New Roman" w:hAnsi="Times New Roman"/>
          <w:sz w:val="24"/>
          <w:szCs w:val="24"/>
          <w:lang w:val="sr-Cyrl-CS"/>
        </w:rPr>
        <w:t xml:space="preserve">Министарства привреде, </w:t>
      </w:r>
      <w:r w:rsidR="00EC0426" w:rsidRPr="004831AB">
        <w:rPr>
          <w:rFonts w:ascii="Times New Roman" w:hAnsi="Times New Roman"/>
          <w:sz w:val="24"/>
          <w:szCs w:val="24"/>
          <w:lang w:val="sr-Cyrl-CS"/>
        </w:rPr>
        <w:t>ПКС</w:t>
      </w:r>
      <w:r w:rsidR="00776727" w:rsidRPr="004831AB">
        <w:rPr>
          <w:rFonts w:ascii="Times New Roman" w:hAnsi="Times New Roman"/>
          <w:sz w:val="24"/>
          <w:szCs w:val="24"/>
          <w:lang w:val="sr-Cyrl-CS"/>
        </w:rPr>
        <w:t xml:space="preserve"> и представника и других органа државне управе, као и сектора МСПП.</w:t>
      </w:r>
    </w:p>
    <w:p w14:paraId="7EC0AD84" w14:textId="72B5FA4D" w:rsidR="00776727"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 xml:space="preserve">ЈПД су организовани </w:t>
      </w:r>
      <w:r w:rsidR="007511D3" w:rsidRPr="004831AB">
        <w:rPr>
          <w:rFonts w:ascii="Times New Roman" w:hAnsi="Times New Roman"/>
          <w:sz w:val="24"/>
          <w:szCs w:val="24"/>
          <w:lang w:val="sr-Cyrl-CS"/>
        </w:rPr>
        <w:t xml:space="preserve">уз подршку и у </w:t>
      </w:r>
      <w:r w:rsidR="00776727" w:rsidRPr="004831AB">
        <w:rPr>
          <w:rFonts w:ascii="Times New Roman" w:hAnsi="Times New Roman"/>
          <w:sz w:val="24"/>
          <w:szCs w:val="24"/>
          <w:lang w:val="sr-Cyrl-CS"/>
        </w:rPr>
        <w:t>сарадњи</w:t>
      </w:r>
      <w:r w:rsidR="007511D3" w:rsidRPr="004831AB">
        <w:rPr>
          <w:rFonts w:ascii="Times New Roman" w:hAnsi="Times New Roman"/>
          <w:sz w:val="24"/>
          <w:szCs w:val="24"/>
          <w:lang w:val="sr-Cyrl-CS"/>
        </w:rPr>
        <w:t xml:space="preserve"> са </w:t>
      </w:r>
      <w:r w:rsidR="00776727" w:rsidRPr="004831AB">
        <w:rPr>
          <w:rFonts w:ascii="Times New Roman" w:hAnsi="Times New Roman"/>
          <w:sz w:val="24"/>
          <w:szCs w:val="24"/>
          <w:lang w:val="sr-Cyrl-CS"/>
        </w:rPr>
        <w:t xml:space="preserve"> П</w:t>
      </w:r>
      <w:r w:rsidR="00D766D4" w:rsidRPr="004831AB">
        <w:rPr>
          <w:rFonts w:ascii="Times New Roman" w:hAnsi="Times New Roman"/>
          <w:sz w:val="24"/>
          <w:szCs w:val="24"/>
          <w:lang w:val="sr-Cyrl-CS"/>
        </w:rPr>
        <w:t>КС</w:t>
      </w:r>
      <w:r w:rsidR="00776727" w:rsidRPr="004831AB">
        <w:rPr>
          <w:rFonts w:ascii="Times New Roman" w:hAnsi="Times New Roman"/>
          <w:sz w:val="24"/>
          <w:szCs w:val="24"/>
          <w:lang w:val="sr-Cyrl-CS"/>
        </w:rPr>
        <w:t xml:space="preserve"> и регионални</w:t>
      </w:r>
      <w:r w:rsidR="007511D3" w:rsidRPr="004831AB">
        <w:rPr>
          <w:rFonts w:ascii="Times New Roman" w:hAnsi="Times New Roman"/>
          <w:sz w:val="24"/>
          <w:szCs w:val="24"/>
          <w:lang w:val="sr-Cyrl-CS"/>
        </w:rPr>
        <w:t>м</w:t>
      </w:r>
      <w:r w:rsidR="00776727" w:rsidRPr="004831AB">
        <w:rPr>
          <w:rFonts w:ascii="Times New Roman" w:hAnsi="Times New Roman"/>
          <w:sz w:val="24"/>
          <w:szCs w:val="24"/>
          <w:lang w:val="sr-Cyrl-CS"/>
        </w:rPr>
        <w:t xml:space="preserve"> привредни</w:t>
      </w:r>
      <w:r w:rsidR="007511D3" w:rsidRPr="004831AB">
        <w:rPr>
          <w:rFonts w:ascii="Times New Roman" w:hAnsi="Times New Roman"/>
          <w:sz w:val="24"/>
          <w:szCs w:val="24"/>
          <w:lang w:val="sr-Cyrl-CS"/>
        </w:rPr>
        <w:t>м</w:t>
      </w:r>
      <w:r w:rsidR="00776727" w:rsidRPr="004831AB">
        <w:rPr>
          <w:rFonts w:ascii="Times New Roman" w:hAnsi="Times New Roman"/>
          <w:sz w:val="24"/>
          <w:szCs w:val="24"/>
          <w:lang w:val="sr-Cyrl-CS"/>
        </w:rPr>
        <w:t xml:space="preserve"> комора</w:t>
      </w:r>
      <w:r w:rsidR="007511D3" w:rsidRPr="004831AB">
        <w:rPr>
          <w:rFonts w:ascii="Times New Roman" w:hAnsi="Times New Roman"/>
          <w:sz w:val="24"/>
          <w:szCs w:val="24"/>
          <w:lang w:val="sr-Cyrl-CS"/>
        </w:rPr>
        <w:t>ма</w:t>
      </w:r>
      <w:r w:rsidR="00776727" w:rsidRPr="004831AB">
        <w:rPr>
          <w:rFonts w:ascii="Times New Roman" w:hAnsi="Times New Roman"/>
          <w:sz w:val="24"/>
          <w:szCs w:val="24"/>
          <w:lang w:val="sr-Cyrl-CS"/>
        </w:rPr>
        <w:t xml:space="preserve"> у јуну месецу 2022. године у 11 градова</w:t>
      </w:r>
      <w:r w:rsidR="00E62B1C" w:rsidRPr="004831AB">
        <w:rPr>
          <w:rFonts w:ascii="Times New Roman" w:hAnsi="Times New Roman"/>
          <w:sz w:val="24"/>
          <w:szCs w:val="24"/>
          <w:lang w:val="sr-Cyrl-CS"/>
        </w:rPr>
        <w:t>,</w:t>
      </w:r>
      <w:r w:rsidR="00776727" w:rsidRPr="004831AB">
        <w:rPr>
          <w:rFonts w:ascii="Times New Roman" w:hAnsi="Times New Roman"/>
          <w:sz w:val="24"/>
          <w:szCs w:val="24"/>
          <w:lang w:val="sr-Cyrl-CS"/>
        </w:rPr>
        <w:t xml:space="preserve"> </w:t>
      </w:r>
      <w:r w:rsidR="001D56CC" w:rsidRPr="004831AB">
        <w:rPr>
          <w:rFonts w:ascii="Times New Roman" w:hAnsi="Times New Roman"/>
          <w:sz w:val="24"/>
          <w:szCs w:val="24"/>
          <w:lang w:val="sr-Cyrl-CS"/>
        </w:rPr>
        <w:t>и то</w:t>
      </w:r>
      <w:r w:rsidR="00776727" w:rsidRPr="004831AB">
        <w:rPr>
          <w:rFonts w:ascii="Times New Roman" w:hAnsi="Times New Roman"/>
          <w:sz w:val="24"/>
          <w:szCs w:val="24"/>
          <w:lang w:val="sr-Cyrl-CS"/>
        </w:rPr>
        <w:t xml:space="preserve"> </w:t>
      </w:r>
      <w:r w:rsidR="004C7CB0" w:rsidRPr="004831AB">
        <w:rPr>
          <w:rFonts w:ascii="Times New Roman" w:hAnsi="Times New Roman"/>
          <w:sz w:val="24"/>
          <w:szCs w:val="24"/>
          <w:lang w:val="sr-Cyrl-CS"/>
        </w:rPr>
        <w:t>хронолошки</w:t>
      </w:r>
      <w:r w:rsidR="00776727" w:rsidRPr="004831AB">
        <w:rPr>
          <w:rFonts w:ascii="Times New Roman" w:hAnsi="Times New Roman"/>
          <w:b/>
          <w:sz w:val="24"/>
          <w:szCs w:val="24"/>
          <w:lang w:val="sr-Cyrl-CS"/>
        </w:rPr>
        <w:t>:</w:t>
      </w:r>
      <w:r w:rsidR="00AA022B" w:rsidRPr="004831AB">
        <w:rPr>
          <w:rFonts w:ascii="Times New Roman" w:hAnsi="Times New Roman"/>
          <w:sz w:val="24"/>
          <w:szCs w:val="24"/>
          <w:lang w:val="sr-Cyrl-CS"/>
        </w:rPr>
        <w:t xml:space="preserve"> Београд, Крушевац, Ниш, Нови Сад, Крагујевац, Шабац, Зајечар, Суботица, Ужице, Нови Пазар и Чачак. </w:t>
      </w:r>
    </w:p>
    <w:p w14:paraId="3FEA8699" w14:textId="77777777" w:rsidR="00E62B1C" w:rsidRPr="004831AB" w:rsidRDefault="00E62B1C" w:rsidP="009B6E1F">
      <w:pPr>
        <w:tabs>
          <w:tab w:val="left" w:pos="900"/>
        </w:tabs>
        <w:spacing w:after="120" w:line="240" w:lineRule="auto"/>
        <w:jc w:val="both"/>
        <w:rPr>
          <w:rFonts w:ascii="Times New Roman" w:hAnsi="Times New Roman"/>
          <w:sz w:val="24"/>
          <w:szCs w:val="24"/>
          <w:lang w:val="sr-Cyrl-CS"/>
        </w:rPr>
      </w:pPr>
    </w:p>
    <w:p w14:paraId="40CD9B3D" w14:textId="639716E6" w:rsidR="00776727"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На ЈПД је активно учествовало 239 присутних</w:t>
      </w:r>
      <w:r w:rsidRPr="004831AB">
        <w:rPr>
          <w:rFonts w:ascii="Times New Roman" w:hAnsi="Times New Roman"/>
          <w:sz w:val="24"/>
          <w:szCs w:val="24"/>
          <w:lang w:val="sr-Cyrl-CS"/>
        </w:rPr>
        <w:t>,</w:t>
      </w:r>
      <w:r w:rsidR="00776727" w:rsidRPr="004831AB">
        <w:rPr>
          <w:rFonts w:ascii="Times New Roman" w:hAnsi="Times New Roman"/>
          <w:sz w:val="24"/>
          <w:szCs w:val="24"/>
          <w:lang w:val="sr-Cyrl-CS"/>
        </w:rPr>
        <w:t xml:space="preserve">  и то:</w:t>
      </w:r>
    </w:p>
    <w:p w14:paraId="2AC9376C" w14:textId="77777777" w:rsidR="00776727" w:rsidRPr="004831AB" w:rsidRDefault="00776727" w:rsidP="007A58C8">
      <w:pPr>
        <w:pStyle w:val="ListParagraph"/>
        <w:numPr>
          <w:ilvl w:val="0"/>
          <w:numId w:val="14"/>
        </w:numPr>
        <w:tabs>
          <w:tab w:val="left" w:pos="900"/>
          <w:tab w:val="left" w:pos="1134"/>
        </w:tabs>
        <w:spacing w:after="120" w:line="240" w:lineRule="auto"/>
        <w:ind w:firstLine="131"/>
        <w:jc w:val="both"/>
        <w:rPr>
          <w:rFonts w:ascii="Times New Roman" w:hAnsi="Times New Roman"/>
          <w:sz w:val="24"/>
          <w:szCs w:val="24"/>
          <w:lang w:val="sr-Cyrl-CS"/>
        </w:rPr>
      </w:pPr>
      <w:r w:rsidRPr="004831AB">
        <w:rPr>
          <w:rFonts w:ascii="Times New Roman" w:hAnsi="Times New Roman"/>
          <w:sz w:val="24"/>
          <w:szCs w:val="24"/>
          <w:lang w:val="sr-Cyrl-CS"/>
        </w:rPr>
        <w:lastRenderedPageBreak/>
        <w:t>121 представник МСПП,</w:t>
      </w:r>
    </w:p>
    <w:p w14:paraId="045FEFEC" w14:textId="7904C2AC" w:rsidR="00776727" w:rsidRPr="004831AB" w:rsidRDefault="00776727" w:rsidP="007A58C8">
      <w:pPr>
        <w:pStyle w:val="ListParagraph"/>
        <w:numPr>
          <w:ilvl w:val="0"/>
          <w:numId w:val="14"/>
        </w:numPr>
        <w:tabs>
          <w:tab w:val="left" w:pos="900"/>
          <w:tab w:val="left" w:pos="1134"/>
        </w:tabs>
        <w:spacing w:after="120" w:line="240" w:lineRule="auto"/>
        <w:ind w:firstLine="131"/>
        <w:jc w:val="both"/>
        <w:rPr>
          <w:rFonts w:ascii="Times New Roman" w:hAnsi="Times New Roman"/>
          <w:sz w:val="24"/>
          <w:szCs w:val="24"/>
          <w:lang w:val="sr-Cyrl-CS"/>
        </w:rPr>
      </w:pPr>
      <w:r w:rsidRPr="004831AB">
        <w:rPr>
          <w:rFonts w:ascii="Times New Roman" w:hAnsi="Times New Roman"/>
          <w:sz w:val="24"/>
          <w:szCs w:val="24"/>
          <w:lang w:val="sr-Cyrl-CS"/>
        </w:rPr>
        <w:t>56 представника научно-технолошких паркова, пословних инкубатора, кластера, регионалних развојних агенција, удружења привредника</w:t>
      </w:r>
      <w:r w:rsidR="00962D1E" w:rsidRPr="004831AB">
        <w:rPr>
          <w:rFonts w:ascii="Times New Roman" w:hAnsi="Times New Roman"/>
          <w:sz w:val="24"/>
          <w:szCs w:val="24"/>
          <w:lang w:val="sr-Cyrl-CS"/>
        </w:rPr>
        <w:t xml:space="preserve"> и</w:t>
      </w:r>
      <w:r w:rsidRPr="004831AB">
        <w:rPr>
          <w:rFonts w:ascii="Times New Roman" w:hAnsi="Times New Roman"/>
          <w:sz w:val="24"/>
          <w:szCs w:val="24"/>
          <w:lang w:val="sr-Cyrl-CS"/>
        </w:rPr>
        <w:t xml:space="preserve"> организација цивилног друштва; </w:t>
      </w:r>
    </w:p>
    <w:p w14:paraId="6F83E15C" w14:textId="77777777" w:rsidR="00776727" w:rsidRPr="004831AB" w:rsidRDefault="00776727" w:rsidP="007A58C8">
      <w:pPr>
        <w:pStyle w:val="ListParagraph"/>
        <w:numPr>
          <w:ilvl w:val="0"/>
          <w:numId w:val="14"/>
        </w:numPr>
        <w:tabs>
          <w:tab w:val="left" w:pos="900"/>
          <w:tab w:val="left" w:pos="1134"/>
        </w:tabs>
        <w:spacing w:after="120" w:line="240" w:lineRule="auto"/>
        <w:ind w:firstLine="131"/>
        <w:jc w:val="both"/>
        <w:rPr>
          <w:rFonts w:ascii="Times New Roman" w:hAnsi="Times New Roman"/>
          <w:sz w:val="24"/>
          <w:szCs w:val="24"/>
          <w:lang w:val="sr-Cyrl-CS"/>
        </w:rPr>
      </w:pPr>
      <w:r w:rsidRPr="004831AB">
        <w:rPr>
          <w:rFonts w:ascii="Times New Roman" w:hAnsi="Times New Roman"/>
          <w:sz w:val="24"/>
          <w:szCs w:val="24"/>
          <w:lang w:val="sr-Cyrl-CS"/>
        </w:rPr>
        <w:t>12 представника универзитета и средњих стручних школа и</w:t>
      </w:r>
    </w:p>
    <w:p w14:paraId="31698234" w14:textId="77777777" w:rsidR="00776727" w:rsidRPr="004831AB" w:rsidRDefault="00776727" w:rsidP="007A58C8">
      <w:pPr>
        <w:pStyle w:val="ListParagraph"/>
        <w:numPr>
          <w:ilvl w:val="0"/>
          <w:numId w:val="14"/>
        </w:numPr>
        <w:tabs>
          <w:tab w:val="left" w:pos="900"/>
          <w:tab w:val="left" w:pos="1134"/>
        </w:tabs>
        <w:spacing w:after="120" w:line="240" w:lineRule="auto"/>
        <w:ind w:firstLine="131"/>
        <w:jc w:val="both"/>
        <w:rPr>
          <w:rFonts w:ascii="Times New Roman" w:hAnsi="Times New Roman"/>
          <w:sz w:val="24"/>
          <w:szCs w:val="24"/>
          <w:lang w:val="sr-Cyrl-CS"/>
        </w:rPr>
      </w:pPr>
      <w:r w:rsidRPr="004831AB">
        <w:rPr>
          <w:rFonts w:ascii="Times New Roman" w:hAnsi="Times New Roman"/>
          <w:sz w:val="24"/>
          <w:szCs w:val="24"/>
          <w:lang w:val="sr-Cyrl-CS"/>
        </w:rPr>
        <w:t xml:space="preserve">50 представника државних институција и локалних самоуправа. </w:t>
      </w:r>
    </w:p>
    <w:p w14:paraId="37B4E16E" w14:textId="08FC96D0" w:rsidR="0051210B"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51210B" w:rsidRPr="004831AB">
        <w:rPr>
          <w:rFonts w:ascii="Times New Roman" w:hAnsi="Times New Roman"/>
          <w:sz w:val="24"/>
          <w:szCs w:val="24"/>
          <w:lang w:val="sr-Cyrl-CS"/>
        </w:rPr>
        <w:t>Такође, почетком септембра 2022. године, одржан је састанак и са члановима Савета ПКС за микр</w:t>
      </w:r>
      <w:r w:rsidR="0051210B" w:rsidRPr="004831AB">
        <w:rPr>
          <w:rFonts w:ascii="Times New Roman" w:hAnsi="Times New Roman"/>
          <w:b/>
          <w:bCs/>
          <w:sz w:val="24"/>
          <w:szCs w:val="24"/>
          <w:lang w:val="sr-Cyrl-CS"/>
        </w:rPr>
        <w:t>о,</w:t>
      </w:r>
      <w:r w:rsidR="0051210B" w:rsidRPr="004831AB">
        <w:rPr>
          <w:rFonts w:ascii="Times New Roman" w:hAnsi="Times New Roman"/>
          <w:sz w:val="24"/>
          <w:szCs w:val="24"/>
          <w:lang w:val="sr-Cyrl-CS"/>
        </w:rPr>
        <w:t xml:space="preserve"> мала и средња привредна друштва, на коме су представљени </w:t>
      </w:r>
      <w:r w:rsidR="00DC4D01" w:rsidRPr="004831AB">
        <w:rPr>
          <w:rFonts w:ascii="Times New Roman" w:hAnsi="Times New Roman"/>
          <w:sz w:val="24"/>
          <w:szCs w:val="24"/>
          <w:lang w:val="sr-Cyrl-CS"/>
        </w:rPr>
        <w:t xml:space="preserve">материјали </w:t>
      </w:r>
      <w:r w:rsidR="0051210B" w:rsidRPr="004831AB">
        <w:rPr>
          <w:rFonts w:ascii="Times New Roman" w:hAnsi="Times New Roman"/>
          <w:sz w:val="24"/>
          <w:szCs w:val="24"/>
          <w:lang w:val="sr-Cyrl-CS"/>
        </w:rPr>
        <w:t xml:space="preserve">прикупљени током јуна 2022. године,  и добијени додатни коментари и сугестије. </w:t>
      </w:r>
    </w:p>
    <w:p w14:paraId="3138F8F3" w14:textId="4D83A417" w:rsidR="00776727"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 xml:space="preserve">На основу </w:t>
      </w:r>
      <w:r w:rsidR="00776727" w:rsidRPr="004831AB">
        <w:rPr>
          <w:rFonts w:ascii="Times New Roman" w:hAnsi="Times New Roman"/>
          <w:i/>
          <w:iCs/>
          <w:sz w:val="24"/>
          <w:szCs w:val="24"/>
          <w:lang w:val="sr-Cyrl-CS"/>
        </w:rPr>
        <w:t>ex</w:t>
      </w:r>
      <w:r w:rsidR="00C102D0" w:rsidRPr="004831AB">
        <w:rPr>
          <w:rFonts w:ascii="Times New Roman" w:hAnsi="Times New Roman"/>
          <w:i/>
          <w:iCs/>
          <w:sz w:val="24"/>
          <w:szCs w:val="24"/>
          <w:lang w:val="sr-Cyrl-CS"/>
        </w:rPr>
        <w:t>-</w:t>
      </w:r>
      <w:r w:rsidR="00776727" w:rsidRPr="004831AB">
        <w:rPr>
          <w:rFonts w:ascii="Times New Roman" w:hAnsi="Times New Roman"/>
          <w:i/>
          <w:iCs/>
          <w:sz w:val="24"/>
          <w:szCs w:val="24"/>
          <w:lang w:val="sr-Cyrl-CS"/>
        </w:rPr>
        <w:t>post</w:t>
      </w:r>
      <w:r w:rsidR="00776727" w:rsidRPr="004831AB">
        <w:rPr>
          <w:rFonts w:ascii="Times New Roman" w:hAnsi="Times New Roman"/>
          <w:sz w:val="24"/>
          <w:szCs w:val="24"/>
          <w:lang w:val="sr-Cyrl-CS"/>
        </w:rPr>
        <w:t xml:space="preserve"> анализе као и </w:t>
      </w:r>
      <w:r w:rsidR="00776727" w:rsidRPr="004831AB">
        <w:rPr>
          <w:rFonts w:ascii="Times New Roman" w:hAnsi="Times New Roman"/>
          <w:i/>
          <w:iCs/>
          <w:sz w:val="24"/>
          <w:szCs w:val="24"/>
          <w:lang w:val="sr-Cyrl-CS"/>
        </w:rPr>
        <w:t xml:space="preserve">SWOT  </w:t>
      </w:r>
      <w:r w:rsidR="001D56CC" w:rsidRPr="004831AB">
        <w:rPr>
          <w:rFonts w:ascii="Times New Roman" w:hAnsi="Times New Roman"/>
          <w:sz w:val="24"/>
          <w:szCs w:val="24"/>
          <w:lang w:val="sr-Cyrl-CS"/>
        </w:rPr>
        <w:t>анализе</w:t>
      </w:r>
      <w:r w:rsidR="00776727" w:rsidRPr="004831AB">
        <w:rPr>
          <w:rFonts w:ascii="Times New Roman" w:hAnsi="Times New Roman"/>
          <w:sz w:val="24"/>
          <w:szCs w:val="24"/>
          <w:lang w:val="sr-Cyrl-CS"/>
        </w:rPr>
        <w:t xml:space="preserve">, експертски тим је идентификовао три тематске сесије које су биле предмет дискусије на сваком догађају. Учесницима су унапред прослеђене ове теме, као и подтеме у свакој целини, да би се припремили за догађај и да би од почетка знали шта се од њих очекује. На самим догађајима, присутни су били подељени у групе од </w:t>
      </w:r>
      <w:r w:rsidR="00E66300" w:rsidRPr="004831AB">
        <w:rPr>
          <w:rFonts w:ascii="Times New Roman" w:hAnsi="Times New Roman"/>
          <w:sz w:val="24"/>
          <w:szCs w:val="24"/>
          <w:lang w:val="sr-Cyrl-CS"/>
        </w:rPr>
        <w:t xml:space="preserve">четири </w:t>
      </w:r>
      <w:r w:rsidR="00776727" w:rsidRPr="004831AB">
        <w:rPr>
          <w:rFonts w:ascii="Times New Roman" w:hAnsi="Times New Roman"/>
          <w:sz w:val="24"/>
          <w:szCs w:val="24"/>
          <w:lang w:val="sr-Cyrl-CS"/>
        </w:rPr>
        <w:t xml:space="preserve">до </w:t>
      </w:r>
      <w:r w:rsidR="00E66300" w:rsidRPr="004831AB">
        <w:rPr>
          <w:rFonts w:ascii="Times New Roman" w:hAnsi="Times New Roman"/>
          <w:sz w:val="24"/>
          <w:szCs w:val="24"/>
          <w:lang w:val="sr-Cyrl-CS"/>
        </w:rPr>
        <w:t xml:space="preserve">седам </w:t>
      </w:r>
      <w:r w:rsidR="00776727" w:rsidRPr="004831AB">
        <w:rPr>
          <w:rFonts w:ascii="Times New Roman" w:hAnsi="Times New Roman"/>
          <w:sz w:val="24"/>
          <w:szCs w:val="24"/>
          <w:lang w:val="sr-Cyrl-CS"/>
        </w:rPr>
        <w:t>учесника и свака група је, уз подршку модератора, дискутовала о:</w:t>
      </w:r>
    </w:p>
    <w:p w14:paraId="71B360C2" w14:textId="77777777" w:rsidR="00776727" w:rsidRPr="004831AB" w:rsidRDefault="00776727" w:rsidP="00B6416B">
      <w:pPr>
        <w:pStyle w:val="ListParagraph"/>
        <w:numPr>
          <w:ilvl w:val="0"/>
          <w:numId w:val="20"/>
        </w:numPr>
        <w:tabs>
          <w:tab w:val="left" w:pos="900"/>
          <w:tab w:val="left" w:pos="1276"/>
        </w:tabs>
        <w:spacing w:after="120" w:line="240" w:lineRule="auto"/>
        <w:ind w:firstLine="273"/>
        <w:jc w:val="both"/>
        <w:rPr>
          <w:rFonts w:ascii="Times New Roman" w:hAnsi="Times New Roman"/>
          <w:sz w:val="24"/>
          <w:szCs w:val="24"/>
          <w:lang w:val="sr-Cyrl-CS"/>
        </w:rPr>
      </w:pPr>
      <w:r w:rsidRPr="004831AB">
        <w:rPr>
          <w:rFonts w:ascii="Times New Roman" w:hAnsi="Times New Roman"/>
          <w:sz w:val="24"/>
          <w:szCs w:val="24"/>
          <w:lang w:val="sr-Cyrl-CS"/>
        </w:rPr>
        <w:t>Регулаторном, правном и институционалном оквиру за МСПП;</w:t>
      </w:r>
    </w:p>
    <w:p w14:paraId="0993F48E" w14:textId="01D0E69C" w:rsidR="00776727" w:rsidRPr="004831AB" w:rsidRDefault="00776727" w:rsidP="00B6416B">
      <w:pPr>
        <w:pStyle w:val="ListParagraph"/>
        <w:numPr>
          <w:ilvl w:val="0"/>
          <w:numId w:val="20"/>
        </w:numPr>
        <w:tabs>
          <w:tab w:val="left" w:pos="900"/>
          <w:tab w:val="left" w:pos="1276"/>
        </w:tabs>
        <w:spacing w:after="120" w:line="240" w:lineRule="auto"/>
        <w:ind w:firstLine="273"/>
        <w:jc w:val="both"/>
        <w:rPr>
          <w:rFonts w:ascii="Times New Roman" w:hAnsi="Times New Roman"/>
          <w:sz w:val="24"/>
          <w:szCs w:val="24"/>
          <w:lang w:val="sr-Cyrl-CS"/>
        </w:rPr>
      </w:pPr>
      <w:r w:rsidRPr="004831AB">
        <w:rPr>
          <w:rFonts w:ascii="Times New Roman" w:hAnsi="Times New Roman"/>
          <w:sz w:val="24"/>
          <w:szCs w:val="24"/>
          <w:lang w:val="sr-Cyrl-CS"/>
        </w:rPr>
        <w:t xml:space="preserve">Иновацијама, дигитализацији и одрживом/зеленом пословању МСПП и </w:t>
      </w:r>
    </w:p>
    <w:p w14:paraId="0C19ABA7" w14:textId="77777777" w:rsidR="00776727" w:rsidRPr="004831AB" w:rsidRDefault="00776727" w:rsidP="00B6416B">
      <w:pPr>
        <w:pStyle w:val="ListParagraph"/>
        <w:numPr>
          <w:ilvl w:val="0"/>
          <w:numId w:val="20"/>
        </w:numPr>
        <w:tabs>
          <w:tab w:val="left" w:pos="900"/>
          <w:tab w:val="left" w:pos="1276"/>
        </w:tabs>
        <w:spacing w:after="120" w:line="240" w:lineRule="auto"/>
        <w:ind w:firstLine="273"/>
        <w:jc w:val="both"/>
        <w:rPr>
          <w:rFonts w:ascii="Times New Roman" w:hAnsi="Times New Roman"/>
          <w:sz w:val="24"/>
          <w:szCs w:val="24"/>
          <w:lang w:val="sr-Cyrl-CS"/>
        </w:rPr>
      </w:pPr>
      <w:r w:rsidRPr="004831AB">
        <w:rPr>
          <w:rFonts w:ascii="Times New Roman" w:hAnsi="Times New Roman"/>
          <w:sz w:val="24"/>
          <w:szCs w:val="24"/>
          <w:lang w:val="sr-Cyrl-CS"/>
        </w:rPr>
        <w:t xml:space="preserve">Конкурентности МСПП. </w:t>
      </w:r>
    </w:p>
    <w:p w14:paraId="4FDAE4C2" w14:textId="268AE0A5" w:rsidR="00776727" w:rsidRPr="004831AB" w:rsidRDefault="00E40D04" w:rsidP="009B6E1F">
      <w:pPr>
        <w:tabs>
          <w:tab w:val="left" w:pos="900"/>
        </w:tabs>
        <w:spacing w:after="12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Кроз разговор у оквиру приоритетних тема, поред кључних питања, водила се и дискусија о специфичним темама као што су: промоција предузетништва, стартап, специфичне циљне групе (жене предузетни</w:t>
      </w:r>
      <w:r w:rsidR="00F30795" w:rsidRPr="004831AB">
        <w:rPr>
          <w:rFonts w:ascii="Times New Roman" w:hAnsi="Times New Roman"/>
          <w:sz w:val="24"/>
          <w:szCs w:val="24"/>
          <w:lang w:val="sr-Cyrl-CS"/>
        </w:rPr>
        <w:t>ци</w:t>
      </w:r>
      <w:r w:rsidR="00776727" w:rsidRPr="004831AB">
        <w:rPr>
          <w:rFonts w:ascii="Times New Roman" w:hAnsi="Times New Roman"/>
          <w:sz w:val="24"/>
          <w:szCs w:val="24"/>
          <w:lang w:val="sr-Cyrl-CS"/>
        </w:rPr>
        <w:t xml:space="preserve">, омладинско предузетништво, социјално предузетништво, друга шанса), а МСПП су консултована и око активности које у претходној стратегији нису реализоване. Наиме, у складу са препоруком Државне ревизорске институције (ДРИ), да се приликом креирања нове политике развоја сектора МСПП анализира потреба и приоритет приликом састављања акционог плана за спровођење новог планског документа, приликом ЈПД модератори су се дотакли и ових питања. </w:t>
      </w:r>
    </w:p>
    <w:p w14:paraId="1B86BE12" w14:textId="757AE9BA" w:rsidR="00776727" w:rsidRPr="004831AB" w:rsidRDefault="00E40D04" w:rsidP="009B6E1F">
      <w:pPr>
        <w:tabs>
          <w:tab w:val="left" w:pos="900"/>
        </w:tabs>
        <w:spacing w:after="24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776727" w:rsidRPr="004831AB">
        <w:rPr>
          <w:rFonts w:ascii="Times New Roman" w:hAnsi="Times New Roman"/>
          <w:sz w:val="24"/>
          <w:szCs w:val="24"/>
          <w:lang w:val="sr-Cyrl-CS"/>
        </w:rPr>
        <w:t>Кроз ЈПД, као и додатне консултације, прикупљено је 48 иницијатива привредника</w:t>
      </w:r>
      <w:r w:rsidR="001052C7" w:rsidRPr="004831AB">
        <w:rPr>
          <w:rFonts w:ascii="Times New Roman" w:hAnsi="Times New Roman"/>
          <w:sz w:val="24"/>
          <w:szCs w:val="24"/>
          <w:lang w:val="sr-Cyrl-CS"/>
        </w:rPr>
        <w:t>.</w:t>
      </w:r>
      <w:r w:rsidR="00776727" w:rsidRPr="004831AB">
        <w:rPr>
          <w:rFonts w:ascii="Times New Roman" w:hAnsi="Times New Roman"/>
          <w:sz w:val="24"/>
          <w:szCs w:val="24"/>
          <w:lang w:val="sr-Cyrl-CS"/>
        </w:rPr>
        <w:t xml:space="preserve"> </w:t>
      </w:r>
    </w:p>
    <w:p w14:paraId="1B3678FB" w14:textId="664016CD" w:rsidR="009B6E1F" w:rsidRPr="004831AB" w:rsidRDefault="00E40D04" w:rsidP="009B6E1F">
      <w:pPr>
        <w:tabs>
          <w:tab w:val="left" w:pos="900"/>
        </w:tabs>
        <w:spacing w:after="24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9B6E1F" w:rsidRPr="004831AB">
        <w:rPr>
          <w:rFonts w:ascii="Times New Roman" w:hAnsi="Times New Roman"/>
          <w:sz w:val="24"/>
          <w:szCs w:val="24"/>
          <w:lang w:val="sr-Cyrl-CS"/>
        </w:rPr>
        <w:t xml:space="preserve">Поред тога, </w:t>
      </w:r>
      <w:r w:rsidR="00350FE4" w:rsidRPr="004831AB">
        <w:rPr>
          <w:rFonts w:ascii="Times New Roman" w:hAnsi="Times New Roman"/>
          <w:sz w:val="24"/>
          <w:szCs w:val="24"/>
          <w:lang w:val="sr-Cyrl-CS"/>
        </w:rPr>
        <w:t xml:space="preserve">6. </w:t>
      </w:r>
      <w:r w:rsidR="002269D1" w:rsidRPr="004831AB">
        <w:rPr>
          <w:rFonts w:ascii="Times New Roman" w:hAnsi="Times New Roman"/>
          <w:sz w:val="24"/>
          <w:szCs w:val="24"/>
          <w:lang w:val="sr-Cyrl-CS"/>
        </w:rPr>
        <w:t>јуна</w:t>
      </w:r>
      <w:r w:rsidR="00350FE4" w:rsidRPr="004831AB">
        <w:rPr>
          <w:rFonts w:ascii="Times New Roman" w:hAnsi="Times New Roman"/>
          <w:sz w:val="24"/>
          <w:szCs w:val="24"/>
          <w:lang w:val="sr-Cyrl-CS"/>
        </w:rPr>
        <w:t xml:space="preserve"> 2022. године, у оквиру редовног састанка Парламента предузетника ПКС, консултације су одржане и са присутним предузетницима, а њихови коментари уграђени и систематизовани у Извештају о ЈПД. Почетком </w:t>
      </w:r>
      <w:r w:rsidR="002269D1" w:rsidRPr="004831AB">
        <w:rPr>
          <w:rFonts w:ascii="Times New Roman" w:hAnsi="Times New Roman"/>
          <w:sz w:val="24"/>
          <w:szCs w:val="24"/>
          <w:lang w:val="sr-Cyrl-CS"/>
        </w:rPr>
        <w:t xml:space="preserve">септембра, односно </w:t>
      </w:r>
      <w:r w:rsidR="00350FE4" w:rsidRPr="004831AB">
        <w:rPr>
          <w:rFonts w:ascii="Times New Roman" w:hAnsi="Times New Roman"/>
          <w:sz w:val="24"/>
          <w:szCs w:val="24"/>
          <w:lang w:val="sr-Cyrl-CS"/>
        </w:rPr>
        <w:t xml:space="preserve">6. </w:t>
      </w:r>
      <w:r w:rsidR="002269D1" w:rsidRPr="004831AB">
        <w:rPr>
          <w:rFonts w:ascii="Times New Roman" w:hAnsi="Times New Roman"/>
          <w:sz w:val="24"/>
          <w:szCs w:val="24"/>
          <w:lang w:val="sr-Cyrl-CS"/>
        </w:rPr>
        <w:t>септембра 2022. године,</w:t>
      </w:r>
      <w:r w:rsidR="00350FE4" w:rsidRPr="004831AB">
        <w:rPr>
          <w:rFonts w:ascii="Times New Roman" w:hAnsi="Times New Roman"/>
          <w:sz w:val="24"/>
          <w:szCs w:val="24"/>
          <w:lang w:val="sr-Cyrl-CS"/>
        </w:rPr>
        <w:t xml:space="preserve"> одржан је и додатни састанак у ПКС и том приликом </w:t>
      </w:r>
      <w:r w:rsidR="00EC0426" w:rsidRPr="004831AB">
        <w:rPr>
          <w:rFonts w:ascii="Times New Roman" w:hAnsi="Times New Roman"/>
          <w:sz w:val="24"/>
          <w:szCs w:val="24"/>
          <w:lang w:val="sr-Cyrl-CS"/>
        </w:rPr>
        <w:t xml:space="preserve">су </w:t>
      </w:r>
      <w:r w:rsidR="00350FE4" w:rsidRPr="004831AB">
        <w:rPr>
          <w:rFonts w:ascii="Times New Roman" w:hAnsi="Times New Roman"/>
          <w:sz w:val="24"/>
          <w:szCs w:val="24"/>
          <w:lang w:val="sr-Cyrl-CS"/>
        </w:rPr>
        <w:t xml:space="preserve">верификовани налази са ЈПД. </w:t>
      </w:r>
    </w:p>
    <w:p w14:paraId="08EBC067" w14:textId="2218E47B" w:rsidR="003C1520" w:rsidRPr="004831AB" w:rsidRDefault="00E40D04" w:rsidP="003C1520">
      <w:pPr>
        <w:tabs>
          <w:tab w:val="left" w:pos="900"/>
        </w:tabs>
        <w:spacing w:after="24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3C1520" w:rsidRPr="004831AB">
        <w:rPr>
          <w:rFonts w:ascii="Times New Roman" w:hAnsi="Times New Roman"/>
          <w:sz w:val="24"/>
          <w:szCs w:val="24"/>
          <w:lang w:val="sr-Cyrl-CS"/>
        </w:rPr>
        <w:t xml:space="preserve">У периоду од 30. јануара до 20. фебруара 2023. године, Министарство привреде спровело је јавну расправу о Предлогу </w:t>
      </w:r>
      <w:r w:rsidR="001E1903" w:rsidRPr="004831AB">
        <w:rPr>
          <w:rFonts w:ascii="Times New Roman" w:hAnsi="Times New Roman"/>
          <w:sz w:val="24"/>
          <w:szCs w:val="24"/>
          <w:lang w:val="sr-Cyrl-CS"/>
        </w:rPr>
        <w:t>стратегије</w:t>
      </w:r>
      <w:r w:rsidR="003C1520" w:rsidRPr="004831AB">
        <w:rPr>
          <w:rFonts w:ascii="Times New Roman" w:hAnsi="Times New Roman"/>
          <w:sz w:val="24"/>
          <w:szCs w:val="24"/>
          <w:lang w:val="sr-Cyrl-CS"/>
        </w:rPr>
        <w:t>, са Акционим планом, а у складу са Закључком 05 Број: 023-673/2023  Одбора за привреду и финансије Владе од 25. јануара 2023. године. Током јавне расправе, прикупљено је, преко портала еКонсултације и путем електронске поште, 57 предлога и коментара које су сачиниле четири асоцијације и удружења.  Већина коментара је делимично или у целини усвојена и уграђена у текст Предлога Стратегије и/или пратећег двогодишњег Акционог плана. За делимично усвојене и неусвојене коментаре дата су образложења. Министарство привреде сачинило је Извештај о јавној расправи о Предлогу Стратегије, са Акционим планом, који је објављен на порталу еКонсултације.</w:t>
      </w:r>
    </w:p>
    <w:p w14:paraId="3F5DFF85" w14:textId="77777777" w:rsidR="003C1520" w:rsidRPr="004831AB" w:rsidRDefault="003C1520" w:rsidP="00E40D04">
      <w:pPr>
        <w:tabs>
          <w:tab w:val="left" w:pos="900"/>
        </w:tabs>
        <w:spacing w:after="240" w:line="240" w:lineRule="auto"/>
        <w:jc w:val="center"/>
        <w:rPr>
          <w:rFonts w:ascii="Times New Roman" w:hAnsi="Times New Roman"/>
          <w:sz w:val="24"/>
          <w:szCs w:val="24"/>
          <w:lang w:val="sr-Cyrl-CS"/>
        </w:rPr>
      </w:pPr>
    </w:p>
    <w:p w14:paraId="13CBF0C1" w14:textId="77777777" w:rsidR="00CA1344" w:rsidRPr="004831AB" w:rsidRDefault="00BC105B" w:rsidP="00E40D04">
      <w:pPr>
        <w:pStyle w:val="Heading1"/>
        <w:spacing w:before="0" w:after="0" w:line="240" w:lineRule="auto"/>
        <w:ind w:left="0"/>
        <w:jc w:val="center"/>
        <w:rPr>
          <w:b w:val="0"/>
          <w:sz w:val="24"/>
          <w:szCs w:val="24"/>
          <w:lang w:val="sr-Cyrl-CS"/>
        </w:rPr>
      </w:pPr>
      <w:r w:rsidRPr="004831AB">
        <w:rPr>
          <w:b w:val="0"/>
          <w:sz w:val="24"/>
          <w:szCs w:val="24"/>
          <w:lang w:val="sr-Cyrl-CS"/>
        </w:rPr>
        <w:lastRenderedPageBreak/>
        <w:t xml:space="preserve">Процена финансијских средстава </w:t>
      </w:r>
      <w:r w:rsidR="009F0BBB" w:rsidRPr="004831AB">
        <w:rPr>
          <w:b w:val="0"/>
          <w:sz w:val="24"/>
          <w:szCs w:val="24"/>
          <w:lang w:val="sr-Cyrl-CS"/>
        </w:rPr>
        <w:t>потребних за спровођење стратегије</w:t>
      </w:r>
      <w:r w:rsidRPr="004831AB">
        <w:rPr>
          <w:b w:val="0"/>
          <w:sz w:val="24"/>
          <w:szCs w:val="24"/>
          <w:lang w:val="sr-Cyrl-CS"/>
        </w:rPr>
        <w:t xml:space="preserve"> и анализа финансијских ефеката</w:t>
      </w:r>
    </w:p>
    <w:p w14:paraId="11DFDF1A" w14:textId="77777777" w:rsidR="00595287" w:rsidRPr="004831AB" w:rsidRDefault="00595287" w:rsidP="00595287">
      <w:pPr>
        <w:rPr>
          <w:lang w:val="sr-Cyrl-CS"/>
        </w:rPr>
      </w:pPr>
    </w:p>
    <w:p w14:paraId="547EAAC2" w14:textId="4496C7E3" w:rsidR="00CA1344" w:rsidRPr="004831AB" w:rsidRDefault="00E40D04" w:rsidP="00CC50DA">
      <w:pPr>
        <w:tabs>
          <w:tab w:val="left" w:pos="900"/>
        </w:tabs>
        <w:spacing w:after="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CA1344" w:rsidRPr="004831AB">
        <w:rPr>
          <w:rFonts w:ascii="Times New Roman" w:hAnsi="Times New Roman"/>
          <w:sz w:val="24"/>
          <w:szCs w:val="24"/>
          <w:lang w:val="sr-Cyrl-CS"/>
        </w:rPr>
        <w:t xml:space="preserve">За остваривање општег циља, посебних циљева и мера предвиђених овом стратегијом, средства се опредељују у буџету Републике Србије, Финансијским планом </w:t>
      </w:r>
      <w:r w:rsidR="00EC0426" w:rsidRPr="004831AB">
        <w:rPr>
          <w:rFonts w:ascii="Times New Roman" w:hAnsi="Times New Roman"/>
          <w:sz w:val="24"/>
          <w:szCs w:val="24"/>
          <w:lang w:val="sr-Cyrl-CS"/>
        </w:rPr>
        <w:t>РАС</w:t>
      </w:r>
      <w:r w:rsidR="00CA1344" w:rsidRPr="004831AB">
        <w:rPr>
          <w:rFonts w:ascii="Times New Roman" w:hAnsi="Times New Roman"/>
          <w:sz w:val="24"/>
          <w:szCs w:val="24"/>
          <w:lang w:val="sr-Cyrl-CS"/>
        </w:rPr>
        <w:t xml:space="preserve">, </w:t>
      </w:r>
      <w:r w:rsidRPr="004831AB">
        <w:rPr>
          <w:rFonts w:ascii="Times New Roman" w:hAnsi="Times New Roman"/>
          <w:sz w:val="24"/>
          <w:szCs w:val="24"/>
          <w:lang w:val="sr-Cyrl-CS"/>
        </w:rPr>
        <w:t xml:space="preserve">      </w:t>
      </w:r>
      <w:r w:rsidR="00CA1344" w:rsidRPr="004831AB">
        <w:rPr>
          <w:rFonts w:ascii="Times New Roman" w:hAnsi="Times New Roman"/>
          <w:sz w:val="24"/>
          <w:szCs w:val="24"/>
          <w:lang w:val="sr-Cyrl-CS"/>
        </w:rPr>
        <w:t xml:space="preserve">Финансијским планом </w:t>
      </w:r>
      <w:r w:rsidR="00EC0426" w:rsidRPr="004831AB">
        <w:rPr>
          <w:rFonts w:ascii="Times New Roman" w:hAnsi="Times New Roman"/>
          <w:sz w:val="24"/>
          <w:szCs w:val="24"/>
          <w:lang w:val="sr-Cyrl-CS"/>
        </w:rPr>
        <w:t>ФЗР</w:t>
      </w:r>
      <w:r w:rsidR="00CA1344" w:rsidRPr="004831AB">
        <w:rPr>
          <w:rFonts w:ascii="Times New Roman" w:hAnsi="Times New Roman"/>
          <w:sz w:val="24"/>
          <w:szCs w:val="24"/>
          <w:lang w:val="sr-Cyrl-CS"/>
        </w:rPr>
        <w:t xml:space="preserve">, Финансијским планом </w:t>
      </w:r>
      <w:r w:rsidR="00EC0426" w:rsidRPr="004831AB">
        <w:rPr>
          <w:rFonts w:ascii="Times New Roman" w:hAnsi="Times New Roman"/>
          <w:sz w:val="24"/>
          <w:szCs w:val="24"/>
          <w:lang w:val="sr-Cyrl-CS"/>
        </w:rPr>
        <w:t>АОФИ</w:t>
      </w:r>
      <w:r w:rsidR="00CA1344" w:rsidRPr="004831AB">
        <w:rPr>
          <w:rFonts w:ascii="Times New Roman" w:hAnsi="Times New Roman"/>
          <w:sz w:val="24"/>
          <w:szCs w:val="24"/>
          <w:lang w:val="sr-Cyrl-CS"/>
        </w:rPr>
        <w:t xml:space="preserve">, Финансијским планом Агенције за лиценцирање стечајних управника, Финансијским планом Фонда за иновациону делатност. </w:t>
      </w:r>
    </w:p>
    <w:p w14:paraId="1A69A4CD" w14:textId="041358BA" w:rsidR="003506CE" w:rsidRPr="004831AB" w:rsidRDefault="001E1903" w:rsidP="00CC50DA">
      <w:pPr>
        <w:tabs>
          <w:tab w:val="left" w:pos="90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CA1344" w:rsidRPr="004831AB">
        <w:rPr>
          <w:rFonts w:ascii="Times New Roman" w:hAnsi="Times New Roman"/>
          <w:sz w:val="24"/>
          <w:szCs w:val="24"/>
          <w:lang w:val="sr-Cyrl-CS"/>
        </w:rPr>
        <w:t>Средства за реализацију одређених мера и активности биће обезбеђена и кроз подршку ЕУ путем ИПА и кроз Програме ЕУ који се реализују у Републици Србији (као што су Хоризонт Европе, Програм за јединствено тржиште и сл). Такође, предвиђено је и договорено</w:t>
      </w:r>
      <w:r w:rsidR="001D56CC" w:rsidRPr="004831AB">
        <w:rPr>
          <w:rFonts w:ascii="Times New Roman" w:hAnsi="Times New Roman"/>
          <w:sz w:val="24"/>
          <w:szCs w:val="24"/>
          <w:lang w:val="sr-Cyrl-CS"/>
        </w:rPr>
        <w:t xml:space="preserve"> или ће у наредном периоду бити договорено</w:t>
      </w:r>
      <w:r w:rsidR="00CA1344" w:rsidRPr="004831AB">
        <w:rPr>
          <w:rFonts w:ascii="Times New Roman" w:hAnsi="Times New Roman"/>
          <w:sz w:val="24"/>
          <w:szCs w:val="24"/>
          <w:lang w:val="sr-Cyrl-CS"/>
        </w:rPr>
        <w:t xml:space="preserve"> учешће и других билатералних и мултилатералних донатора у реализацији мера и активности ове стратегије и АП, као што су ГИЗ, КФВ, УНДП и сл.</w:t>
      </w:r>
    </w:p>
    <w:p w14:paraId="61E41B85" w14:textId="77777777" w:rsidR="00CA1344" w:rsidRPr="004831AB" w:rsidRDefault="00CA1344" w:rsidP="00595287">
      <w:pPr>
        <w:tabs>
          <w:tab w:val="left" w:pos="900"/>
        </w:tabs>
        <w:spacing w:after="0" w:line="240" w:lineRule="auto"/>
        <w:jc w:val="both"/>
        <w:rPr>
          <w:rFonts w:ascii="Times New Roman" w:hAnsi="Times New Roman"/>
          <w:sz w:val="24"/>
          <w:szCs w:val="24"/>
          <w:lang w:val="sr-Cyrl-CS"/>
        </w:rPr>
      </w:pPr>
      <w:r w:rsidRPr="004831AB">
        <w:rPr>
          <w:rFonts w:ascii="Times New Roman" w:hAnsi="Times New Roman"/>
          <w:sz w:val="24"/>
          <w:szCs w:val="24"/>
          <w:lang w:val="sr-Cyrl-CS"/>
        </w:rPr>
        <w:t xml:space="preserve"> </w:t>
      </w:r>
    </w:p>
    <w:p w14:paraId="0700AF5C" w14:textId="0FA70EEE" w:rsidR="00CA1344" w:rsidRPr="004831AB" w:rsidRDefault="00E40D04" w:rsidP="00595287">
      <w:pPr>
        <w:tabs>
          <w:tab w:val="left" w:pos="900"/>
        </w:tabs>
        <w:spacing w:after="0" w:line="240" w:lineRule="auto"/>
        <w:jc w:val="both"/>
        <w:rPr>
          <w:rFonts w:ascii="Times New Roman" w:hAnsi="Times New Roman"/>
          <w:sz w:val="24"/>
          <w:szCs w:val="24"/>
          <w:lang w:val="sr-Cyrl-CS"/>
        </w:rPr>
      </w:pPr>
      <w:r w:rsidRPr="004831AB">
        <w:rPr>
          <w:rFonts w:ascii="Times New Roman" w:hAnsi="Times New Roman"/>
          <w:sz w:val="24"/>
          <w:szCs w:val="24"/>
          <w:lang w:val="sr-Cyrl-CS"/>
        </w:rPr>
        <w:tab/>
      </w:r>
      <w:r w:rsidR="00CA1344" w:rsidRPr="004831AB">
        <w:rPr>
          <w:rFonts w:ascii="Times New Roman" w:hAnsi="Times New Roman"/>
          <w:sz w:val="24"/>
          <w:szCs w:val="24"/>
          <w:lang w:val="sr-Cyrl-CS"/>
        </w:rPr>
        <w:t>Акционим планом приказан је буџет за реализацију мера за 2023. годину, са пројекцијама за 2024. годину</w:t>
      </w:r>
      <w:r w:rsidR="00F74BB7" w:rsidRPr="004831AB">
        <w:rPr>
          <w:rFonts w:ascii="Times New Roman" w:hAnsi="Times New Roman"/>
          <w:sz w:val="24"/>
          <w:szCs w:val="24"/>
          <w:lang w:val="sr-Cyrl-CS"/>
        </w:rPr>
        <w:t>,</w:t>
      </w:r>
      <w:r w:rsidR="00CA1344" w:rsidRPr="004831AB">
        <w:rPr>
          <w:rFonts w:ascii="Times New Roman" w:hAnsi="Times New Roman"/>
          <w:sz w:val="24"/>
          <w:szCs w:val="24"/>
          <w:lang w:val="sr-Cyrl-CS"/>
        </w:rPr>
        <w:t xml:space="preserve"> који </w:t>
      </w:r>
      <w:r w:rsidR="001172F8" w:rsidRPr="004831AB">
        <w:rPr>
          <w:rFonts w:ascii="Times New Roman" w:hAnsi="Times New Roman"/>
          <w:sz w:val="24"/>
          <w:szCs w:val="24"/>
          <w:lang w:val="sr-Cyrl-CS"/>
        </w:rPr>
        <w:t>је</w:t>
      </w:r>
      <w:r w:rsidR="00CA1344" w:rsidRPr="004831AB">
        <w:rPr>
          <w:rFonts w:ascii="Times New Roman" w:hAnsi="Times New Roman"/>
          <w:sz w:val="24"/>
          <w:szCs w:val="24"/>
          <w:lang w:val="sr-Cyrl-CS"/>
        </w:rPr>
        <w:t xml:space="preserve"> усклађ</w:t>
      </w:r>
      <w:r w:rsidR="001172F8" w:rsidRPr="004831AB">
        <w:rPr>
          <w:rFonts w:ascii="Times New Roman" w:hAnsi="Times New Roman"/>
          <w:sz w:val="24"/>
          <w:szCs w:val="24"/>
          <w:lang w:val="sr-Cyrl-CS"/>
        </w:rPr>
        <w:t>ен</w:t>
      </w:r>
      <w:r w:rsidR="00CA1344" w:rsidRPr="004831AB">
        <w:rPr>
          <w:rFonts w:ascii="Times New Roman" w:hAnsi="Times New Roman"/>
          <w:sz w:val="24"/>
          <w:szCs w:val="24"/>
          <w:lang w:val="sr-Cyrl-CS"/>
        </w:rPr>
        <w:t xml:space="preserve"> са </w:t>
      </w:r>
      <w:r w:rsidR="001172F8" w:rsidRPr="004831AB">
        <w:rPr>
          <w:rFonts w:ascii="Times New Roman" w:hAnsi="Times New Roman"/>
          <w:sz w:val="24"/>
          <w:szCs w:val="24"/>
          <w:lang w:val="sr-Cyrl-CS"/>
        </w:rPr>
        <w:t>Законом о буџету</w:t>
      </w:r>
      <w:r w:rsidR="00CA1344" w:rsidRPr="004831AB">
        <w:rPr>
          <w:rFonts w:ascii="Times New Roman" w:hAnsi="Times New Roman"/>
          <w:sz w:val="24"/>
          <w:szCs w:val="24"/>
          <w:lang w:val="sr-Cyrl-CS"/>
        </w:rPr>
        <w:t xml:space="preserve"> за 2023. годину, као </w:t>
      </w:r>
      <w:r w:rsidR="001172F8" w:rsidRPr="004831AB">
        <w:rPr>
          <w:rFonts w:ascii="Times New Roman" w:hAnsi="Times New Roman"/>
          <w:sz w:val="24"/>
          <w:szCs w:val="24"/>
          <w:lang w:val="sr-Cyrl-CS"/>
        </w:rPr>
        <w:t>Приоритеним областима финансирања 2024-2026</w:t>
      </w:r>
      <w:r w:rsidR="00F261E1" w:rsidRPr="004831AB">
        <w:rPr>
          <w:rFonts w:ascii="Times New Roman" w:hAnsi="Times New Roman"/>
          <w:sz w:val="24"/>
          <w:szCs w:val="24"/>
          <w:lang w:val="sr-Cyrl-CS"/>
        </w:rPr>
        <w:t>.</w:t>
      </w:r>
      <w:r w:rsidR="001172F8" w:rsidRPr="004831AB">
        <w:rPr>
          <w:rFonts w:ascii="Times New Roman" w:hAnsi="Times New Roman"/>
          <w:sz w:val="24"/>
          <w:szCs w:val="24"/>
          <w:lang w:val="sr-Cyrl-CS"/>
        </w:rPr>
        <w:t xml:space="preserve"> година</w:t>
      </w:r>
      <w:r w:rsidR="00CA1344" w:rsidRPr="004831AB">
        <w:rPr>
          <w:rFonts w:ascii="Times New Roman" w:hAnsi="Times New Roman"/>
          <w:sz w:val="24"/>
          <w:szCs w:val="24"/>
          <w:lang w:val="sr-Cyrl-CS"/>
        </w:rPr>
        <w:t xml:space="preserve">. </w:t>
      </w:r>
    </w:p>
    <w:p w14:paraId="4054216E" w14:textId="77777777" w:rsidR="00CA1344" w:rsidRPr="004831AB" w:rsidRDefault="00CA1344" w:rsidP="00360377">
      <w:pPr>
        <w:rPr>
          <w:lang w:val="sr-Cyrl-CS"/>
        </w:rPr>
      </w:pPr>
    </w:p>
    <w:p w14:paraId="76935DF6" w14:textId="413BB8C9" w:rsidR="00314817" w:rsidRPr="004831AB" w:rsidRDefault="00314817" w:rsidP="00E40D04">
      <w:pPr>
        <w:pStyle w:val="Heading1"/>
        <w:jc w:val="center"/>
        <w:rPr>
          <w:b w:val="0"/>
          <w:sz w:val="24"/>
          <w:szCs w:val="24"/>
          <w:lang w:val="sr-Cyrl-CS"/>
        </w:rPr>
      </w:pPr>
      <w:r w:rsidRPr="004831AB">
        <w:rPr>
          <w:b w:val="0"/>
          <w:sz w:val="24"/>
          <w:szCs w:val="24"/>
          <w:lang w:val="sr-Cyrl-CS"/>
        </w:rPr>
        <w:t>Анализа ризика</w:t>
      </w:r>
    </w:p>
    <w:p w14:paraId="0B2FAE94" w14:textId="4DFEB142" w:rsidR="003C1520" w:rsidRPr="004831AB" w:rsidRDefault="00CA1344" w:rsidP="002A0F6C">
      <w:pPr>
        <w:spacing w:after="0" w:line="240" w:lineRule="auto"/>
        <w:ind w:firstLine="720"/>
        <w:jc w:val="both"/>
        <w:rPr>
          <w:rFonts w:ascii="Times New Roman" w:hAnsi="Times New Roman" w:cs="Times New Roman"/>
          <w:sz w:val="24"/>
          <w:szCs w:val="24"/>
          <w:lang w:val="sr-Cyrl-CS" w:eastAsia="sr-Latn-RS"/>
        </w:rPr>
      </w:pPr>
      <w:r w:rsidRPr="004831AB">
        <w:rPr>
          <w:rFonts w:ascii="Times New Roman" w:hAnsi="Times New Roman" w:cs="Times New Roman"/>
          <w:sz w:val="24"/>
          <w:szCs w:val="24"/>
          <w:lang w:val="sr-Cyrl-CS"/>
        </w:rPr>
        <w:t xml:space="preserve">У </w:t>
      </w:r>
      <w:r w:rsidR="000558B0" w:rsidRPr="004831AB">
        <w:rPr>
          <w:rFonts w:ascii="Times New Roman" w:hAnsi="Times New Roman" w:cs="Times New Roman"/>
          <w:sz w:val="24"/>
          <w:szCs w:val="24"/>
          <w:lang w:val="sr-Cyrl-CS"/>
        </w:rPr>
        <w:t>Tабели aнализе ризика</w:t>
      </w:r>
      <w:r w:rsidRPr="004831AB">
        <w:rPr>
          <w:rFonts w:ascii="Times New Roman" w:hAnsi="Times New Roman" w:cs="Times New Roman"/>
          <w:sz w:val="24"/>
          <w:szCs w:val="24"/>
          <w:lang w:val="sr-Cyrl-CS"/>
        </w:rPr>
        <w:t xml:space="preserve"> су приказани ризици који могу имати </w:t>
      </w:r>
      <w:r w:rsidR="007355DB" w:rsidRPr="004831AB">
        <w:rPr>
          <w:rFonts w:ascii="Times New Roman" w:hAnsi="Times New Roman" w:cs="Times New Roman"/>
          <w:sz w:val="24"/>
          <w:szCs w:val="24"/>
          <w:lang w:val="sr-Cyrl-CS"/>
        </w:rPr>
        <w:t>значајан</w:t>
      </w:r>
      <w:r w:rsidRPr="004831AB">
        <w:rPr>
          <w:rFonts w:ascii="Times New Roman" w:hAnsi="Times New Roman" w:cs="Times New Roman"/>
          <w:sz w:val="24"/>
          <w:szCs w:val="24"/>
          <w:lang w:val="sr-Cyrl-CS"/>
        </w:rPr>
        <w:t xml:space="preserve"> утицај на спровођење ове јавне политике (Стратегије и</w:t>
      </w:r>
      <w:r w:rsidR="00DC4D01" w:rsidRPr="004831AB">
        <w:rPr>
          <w:rFonts w:ascii="Times New Roman" w:hAnsi="Times New Roman" w:cs="Times New Roman"/>
          <w:sz w:val="24"/>
          <w:szCs w:val="24"/>
          <w:lang w:val="sr-Cyrl-CS"/>
        </w:rPr>
        <w:t xml:space="preserve"> Акционог плана</w:t>
      </w:r>
      <w:r w:rsidRPr="004831AB">
        <w:rPr>
          <w:rFonts w:ascii="Times New Roman" w:hAnsi="Times New Roman" w:cs="Times New Roman"/>
          <w:sz w:val="24"/>
          <w:szCs w:val="24"/>
          <w:lang w:val="sr-Cyrl-CS"/>
        </w:rPr>
        <w:t xml:space="preserve">). </w:t>
      </w:r>
      <w:r w:rsidR="007355DB" w:rsidRPr="004831AB">
        <w:rPr>
          <w:rFonts w:ascii="Times New Roman" w:hAnsi="Times New Roman" w:cs="Times New Roman"/>
          <w:sz w:val="24"/>
          <w:szCs w:val="24"/>
          <w:lang w:val="sr-Cyrl-CS"/>
        </w:rPr>
        <w:t xml:space="preserve">Значајан </w:t>
      </w:r>
      <w:r w:rsidRPr="004831AB">
        <w:rPr>
          <w:rFonts w:ascii="Times New Roman" w:hAnsi="Times New Roman" w:cs="Times New Roman"/>
          <w:sz w:val="24"/>
          <w:szCs w:val="24"/>
          <w:lang w:val="sr-Cyrl-CS"/>
        </w:rPr>
        <w:t xml:space="preserve">утицај подразумева да деловање одређеног фактора </w:t>
      </w:r>
      <w:r w:rsidR="001D56CC" w:rsidRPr="004831AB">
        <w:rPr>
          <w:rFonts w:ascii="Times New Roman" w:hAnsi="Times New Roman" w:cs="Times New Roman"/>
          <w:sz w:val="24"/>
          <w:szCs w:val="24"/>
          <w:lang w:val="sr-Cyrl-CS"/>
        </w:rPr>
        <w:t xml:space="preserve">може да </w:t>
      </w:r>
      <w:r w:rsidRPr="004831AB">
        <w:rPr>
          <w:rFonts w:ascii="Times New Roman" w:hAnsi="Times New Roman" w:cs="Times New Roman"/>
          <w:sz w:val="24"/>
          <w:szCs w:val="24"/>
          <w:lang w:val="sr-Cyrl-CS"/>
        </w:rPr>
        <w:t xml:space="preserve">услови </w:t>
      </w:r>
      <w:r w:rsidR="001D56CC" w:rsidRPr="004831AB">
        <w:rPr>
          <w:rFonts w:ascii="Times New Roman" w:hAnsi="Times New Roman" w:cs="Times New Roman"/>
          <w:sz w:val="24"/>
          <w:szCs w:val="24"/>
          <w:lang w:val="sr-Cyrl-CS"/>
        </w:rPr>
        <w:t xml:space="preserve">или </w:t>
      </w:r>
      <w:r w:rsidRPr="004831AB">
        <w:rPr>
          <w:rFonts w:ascii="Times New Roman" w:hAnsi="Times New Roman" w:cs="Times New Roman"/>
          <w:sz w:val="24"/>
          <w:szCs w:val="24"/>
          <w:lang w:val="sr-Cyrl-CS"/>
        </w:rPr>
        <w:t>неиспуњавање (у целости или делом) или кашњење у испуњавању одређене активности</w:t>
      </w:r>
      <w:r w:rsidR="003C1520" w:rsidRPr="004831AB">
        <w:rPr>
          <w:rFonts w:ascii="Times New Roman" w:hAnsi="Times New Roman" w:cs="Times New Roman"/>
          <w:sz w:val="24"/>
          <w:szCs w:val="24"/>
          <w:lang w:val="sr-Cyrl-CS"/>
        </w:rPr>
        <w:t xml:space="preserve"> или промену у правцу деловања ове јавне политике</w:t>
      </w:r>
      <w:r w:rsidR="00CA0259" w:rsidRPr="004831AB">
        <w:rPr>
          <w:rFonts w:ascii="Times New Roman" w:hAnsi="Times New Roman" w:cs="Times New Roman"/>
          <w:sz w:val="24"/>
          <w:szCs w:val="24"/>
          <w:lang w:val="sr-Cyrl-CS"/>
        </w:rPr>
        <w:t>.</w:t>
      </w:r>
      <w:r w:rsidR="003C1520" w:rsidRPr="004831AB">
        <w:rPr>
          <w:rFonts w:ascii="Times New Roman" w:hAnsi="Times New Roman" w:cs="Times New Roman"/>
          <w:sz w:val="24"/>
          <w:szCs w:val="24"/>
          <w:lang w:val="sr-Cyrl-CS" w:eastAsia="sr-Latn-RS"/>
        </w:rPr>
        <w:t xml:space="preserve"> </w:t>
      </w:r>
    </w:p>
    <w:p w14:paraId="0E88A0E1" w14:textId="15DDB71C" w:rsidR="00CA1344" w:rsidRPr="004831AB" w:rsidRDefault="00CA1344" w:rsidP="002A0F6C">
      <w:pPr>
        <w:spacing w:after="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 </w:t>
      </w:r>
      <w:r w:rsidR="00E40D04" w:rsidRPr="004831AB">
        <w:rPr>
          <w:rFonts w:ascii="Times New Roman" w:hAnsi="Times New Roman" w:cs="Times New Roman"/>
          <w:sz w:val="24"/>
          <w:szCs w:val="24"/>
          <w:lang w:val="sr-Cyrl-CS"/>
        </w:rPr>
        <w:tab/>
      </w:r>
      <w:r w:rsidRPr="004831AB">
        <w:rPr>
          <w:rFonts w:ascii="Times New Roman" w:hAnsi="Times New Roman" w:cs="Times New Roman"/>
          <w:sz w:val="24"/>
          <w:szCs w:val="24"/>
          <w:lang w:val="sr-Cyrl-CS"/>
        </w:rPr>
        <w:t>Органи који су дефинисани ка</w:t>
      </w:r>
      <w:r w:rsidR="00EC4622" w:rsidRPr="004831AB">
        <w:rPr>
          <w:rFonts w:ascii="Times New Roman" w:hAnsi="Times New Roman" w:cs="Times New Roman"/>
          <w:sz w:val="24"/>
          <w:szCs w:val="24"/>
          <w:lang w:val="sr-Cyrl-CS"/>
        </w:rPr>
        <w:t xml:space="preserve">о носиоци активности </w:t>
      </w:r>
      <w:r w:rsidRPr="004831AB">
        <w:rPr>
          <w:rFonts w:ascii="Times New Roman" w:hAnsi="Times New Roman" w:cs="Times New Roman"/>
          <w:sz w:val="24"/>
          <w:szCs w:val="24"/>
          <w:lang w:val="sr-Cyrl-CS"/>
        </w:rPr>
        <w:t xml:space="preserve">благовремено прате и извештавају о појави ризика, </w:t>
      </w:r>
      <w:r w:rsidR="0090603D" w:rsidRPr="004831AB">
        <w:rPr>
          <w:rFonts w:ascii="Times New Roman" w:hAnsi="Times New Roman" w:cs="Times New Roman"/>
          <w:sz w:val="24"/>
          <w:szCs w:val="24"/>
          <w:lang w:val="sr-Cyrl-CS"/>
        </w:rPr>
        <w:t>као и</w:t>
      </w:r>
      <w:r w:rsidRPr="004831AB">
        <w:rPr>
          <w:rFonts w:ascii="Times New Roman" w:hAnsi="Times New Roman" w:cs="Times New Roman"/>
          <w:sz w:val="24"/>
          <w:szCs w:val="24"/>
          <w:lang w:val="sr-Cyrl-CS"/>
        </w:rPr>
        <w:t xml:space="preserve"> спроводе све потребне активности </w:t>
      </w:r>
      <w:r w:rsidR="00150F07" w:rsidRPr="004831AB">
        <w:rPr>
          <w:rFonts w:ascii="Times New Roman" w:hAnsi="Times New Roman" w:cs="Times New Roman"/>
          <w:sz w:val="24"/>
          <w:szCs w:val="24"/>
          <w:lang w:val="sr-Cyrl-CS"/>
        </w:rPr>
        <w:t>за ублажавање</w:t>
      </w:r>
      <w:r w:rsidRPr="004831AB">
        <w:rPr>
          <w:rFonts w:ascii="Times New Roman" w:hAnsi="Times New Roman" w:cs="Times New Roman"/>
          <w:sz w:val="24"/>
          <w:szCs w:val="24"/>
          <w:lang w:val="sr-Cyrl-CS"/>
        </w:rPr>
        <w:t xml:space="preserve"> дејства тих ризика. </w:t>
      </w:r>
    </w:p>
    <w:p w14:paraId="2A908A9E" w14:textId="4E03BDE5" w:rsidR="00CA1344" w:rsidRPr="004831AB" w:rsidRDefault="00CA1344" w:rsidP="002A0F6C">
      <w:pPr>
        <w:spacing w:after="0" w:line="240" w:lineRule="auto"/>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Осим пописа ризика, у наредној табели су приказани и могући правци митигације (ублажавања дејства појединачних ризика), а који су дефинисани у складу са претходно формулисаним претпоставкама. Заједнички именилац свих активности, односно претпоставке које су „нултог</w:t>
      </w:r>
      <w:r w:rsidR="00DC4D01" w:rsidRPr="004831AB">
        <w:rPr>
          <w:rFonts w:ascii="Times New Roman" w:eastAsia="Calibri" w:hAnsi="Times New Roman" w:cs="Times New Roman"/>
          <w:lang w:val="sr-Cyrl-CS"/>
        </w:rPr>
        <w:t xml:space="preserve"> </w:t>
      </w:r>
      <w:r w:rsidRPr="004831AB">
        <w:rPr>
          <w:rFonts w:ascii="Times New Roman" w:hAnsi="Times New Roman" w:cs="Times New Roman"/>
          <w:sz w:val="24"/>
          <w:szCs w:val="24"/>
          <w:lang w:val="sr-Cyrl-CS"/>
        </w:rPr>
        <w:t xml:space="preserve"> типа</w:t>
      </w:r>
      <w:r w:rsidR="00CA0259" w:rsidRPr="004831AB">
        <w:rPr>
          <w:rFonts w:ascii="Times New Roman" w:eastAsia="Calibri" w:hAnsi="Times New Roman" w:cs="Times New Roman"/>
          <w:lang w:val="sr-Cyrl-CS"/>
        </w:rPr>
        <w:t>”</w:t>
      </w:r>
      <w:r w:rsidRPr="004831AB">
        <w:rPr>
          <w:rFonts w:ascii="Times New Roman" w:hAnsi="Times New Roman" w:cs="Times New Roman"/>
          <w:sz w:val="24"/>
          <w:szCs w:val="24"/>
          <w:lang w:val="sr-Cyrl-CS"/>
        </w:rPr>
        <w:t xml:space="preserve"> и без којих не би могла да се оствари нити једна од активности су:</w:t>
      </w:r>
    </w:p>
    <w:p w14:paraId="06228FB1" w14:textId="77777777" w:rsidR="00CA1344" w:rsidRPr="004831AB" w:rsidRDefault="00CA1344" w:rsidP="004731EA">
      <w:pPr>
        <w:pStyle w:val="ListParagraph"/>
        <w:numPr>
          <w:ilvl w:val="0"/>
          <w:numId w:val="49"/>
        </w:numPr>
        <w:tabs>
          <w:tab w:val="left" w:pos="851"/>
        </w:tabs>
        <w:spacing w:after="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политичка посвећеност носилаца активности и институција-партнера у спровођењу активности;</w:t>
      </w:r>
    </w:p>
    <w:p w14:paraId="76EF26EE" w14:textId="77777777" w:rsidR="00CA1344" w:rsidRPr="004831AB" w:rsidRDefault="00CA1344" w:rsidP="004731EA">
      <w:pPr>
        <w:pStyle w:val="ListParagraph"/>
        <w:numPr>
          <w:ilvl w:val="0"/>
          <w:numId w:val="49"/>
        </w:numPr>
        <w:tabs>
          <w:tab w:val="left" w:pos="851"/>
        </w:tabs>
        <w:spacing w:after="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адекватни финансијски, материјални и људски ресурси за имплементацију активности; </w:t>
      </w:r>
    </w:p>
    <w:p w14:paraId="4FB56A0D" w14:textId="2DEFACEB" w:rsidR="000264A7" w:rsidRPr="004831AB" w:rsidRDefault="00CA1344" w:rsidP="004731EA">
      <w:pPr>
        <w:pStyle w:val="ListParagraph"/>
        <w:numPr>
          <w:ilvl w:val="0"/>
          <w:numId w:val="49"/>
        </w:numPr>
        <w:tabs>
          <w:tab w:val="left" w:pos="851"/>
        </w:tabs>
        <w:spacing w:after="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ефикасна координација и циљно оријентисано управљање активностима</w:t>
      </w:r>
      <w:r w:rsidR="00CA0259" w:rsidRPr="004831AB">
        <w:rPr>
          <w:rFonts w:ascii="Times New Roman" w:hAnsi="Times New Roman" w:cs="Times New Roman"/>
          <w:sz w:val="24"/>
          <w:szCs w:val="24"/>
          <w:lang w:val="sr-Cyrl-CS"/>
        </w:rPr>
        <w:t>;</w:t>
      </w:r>
    </w:p>
    <w:p w14:paraId="7DB25CA5" w14:textId="5EC97CA7" w:rsidR="00CA1344" w:rsidRPr="004831AB" w:rsidRDefault="000264A7" w:rsidP="004731EA">
      <w:pPr>
        <w:pStyle w:val="ListParagraph"/>
        <w:numPr>
          <w:ilvl w:val="0"/>
          <w:numId w:val="49"/>
        </w:numPr>
        <w:tabs>
          <w:tab w:val="left" w:pos="851"/>
        </w:tabs>
        <w:spacing w:after="0" w:line="240" w:lineRule="auto"/>
        <w:ind w:left="0" w:firstLine="709"/>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одсуство већих нестабилности у макроекономском окружења</w:t>
      </w:r>
      <w:r w:rsidR="001C32DE" w:rsidRPr="004831AB">
        <w:rPr>
          <w:rFonts w:ascii="Times New Roman" w:hAnsi="Times New Roman" w:cs="Times New Roman"/>
          <w:sz w:val="24"/>
          <w:szCs w:val="24"/>
          <w:lang w:val="sr-Cyrl-CS"/>
        </w:rPr>
        <w:t>,</w:t>
      </w:r>
      <w:r w:rsidRPr="004831AB">
        <w:rPr>
          <w:rFonts w:ascii="Times New Roman" w:hAnsi="Times New Roman" w:cs="Times New Roman"/>
          <w:sz w:val="24"/>
          <w:szCs w:val="24"/>
          <w:lang w:val="sr-Cyrl-CS"/>
        </w:rPr>
        <w:t xml:space="preserve"> </w:t>
      </w:r>
      <w:r w:rsidR="001C32DE" w:rsidRPr="004831AB">
        <w:rPr>
          <w:rFonts w:ascii="Times New Roman" w:hAnsi="Times New Roman" w:cs="Times New Roman"/>
          <w:sz w:val="24"/>
          <w:szCs w:val="24"/>
          <w:lang w:val="sr-Cyrl-CS"/>
        </w:rPr>
        <w:t>криза великих</w:t>
      </w:r>
      <w:r w:rsidRPr="004831AB">
        <w:rPr>
          <w:rFonts w:ascii="Times New Roman" w:hAnsi="Times New Roman" w:cs="Times New Roman"/>
          <w:sz w:val="24"/>
          <w:szCs w:val="24"/>
          <w:lang w:val="sr-Cyrl-CS"/>
        </w:rPr>
        <w:t xml:space="preserve"> размера</w:t>
      </w:r>
      <w:r w:rsidR="001C32DE" w:rsidRPr="004831AB">
        <w:rPr>
          <w:rFonts w:ascii="Times New Roman" w:hAnsi="Times New Roman" w:cs="Times New Roman"/>
          <w:sz w:val="24"/>
          <w:szCs w:val="24"/>
          <w:lang w:val="sr-Cyrl-CS"/>
        </w:rPr>
        <w:t xml:space="preserve"> и других крупних дисруптивних догађаја</w:t>
      </w:r>
      <w:r w:rsidR="00CA0259" w:rsidRPr="004831AB">
        <w:rPr>
          <w:rFonts w:ascii="Times New Roman" w:hAnsi="Times New Roman" w:cs="Times New Roman"/>
          <w:sz w:val="24"/>
          <w:szCs w:val="24"/>
          <w:lang w:val="sr-Cyrl-CS"/>
        </w:rPr>
        <w:t>.</w:t>
      </w:r>
    </w:p>
    <w:p w14:paraId="3E9923AC" w14:textId="77777777" w:rsidR="00CA1344" w:rsidRPr="004831AB" w:rsidRDefault="00CA1344" w:rsidP="002A0F6C">
      <w:pPr>
        <w:spacing w:after="0"/>
        <w:jc w:val="both"/>
        <w:rPr>
          <w:lang w:val="sr-Cyrl-CS"/>
        </w:rPr>
      </w:pPr>
    </w:p>
    <w:p w14:paraId="13FA4F89" w14:textId="77777777" w:rsidR="00CA1344" w:rsidRPr="004831AB" w:rsidRDefault="00CA1344" w:rsidP="002A0F6C">
      <w:pPr>
        <w:spacing w:after="0"/>
        <w:rPr>
          <w:lang w:val="sr-Cyrl-CS"/>
        </w:rPr>
      </w:pPr>
    </w:p>
    <w:p w14:paraId="04C9EA47" w14:textId="77777777" w:rsidR="00CA1344" w:rsidRPr="004831AB" w:rsidRDefault="00CA1344" w:rsidP="00CA1344">
      <w:pPr>
        <w:rPr>
          <w:lang w:val="sr-Cyrl-CS"/>
        </w:rPr>
      </w:pPr>
    </w:p>
    <w:p w14:paraId="512D5F69" w14:textId="77777777" w:rsidR="00CA1344" w:rsidRPr="004831AB" w:rsidRDefault="00CA1344" w:rsidP="00CA1344">
      <w:pPr>
        <w:rPr>
          <w:lang w:val="sr-Cyrl-CS"/>
        </w:rPr>
      </w:pPr>
    </w:p>
    <w:p w14:paraId="54B23322" w14:textId="77777777" w:rsidR="00CA1344" w:rsidRPr="004831AB" w:rsidRDefault="00CA1344" w:rsidP="00CA1344">
      <w:pPr>
        <w:rPr>
          <w:lang w:val="sr-Cyrl-CS"/>
        </w:rPr>
        <w:sectPr w:rsidR="00CA1344" w:rsidRPr="004831AB" w:rsidSect="004474BF">
          <w:footerReference w:type="default" r:id="rId24"/>
          <w:footerReference w:type="first" r:id="rId25"/>
          <w:pgSz w:w="12240" w:h="15840"/>
          <w:pgMar w:top="1440" w:right="1304" w:bottom="1440" w:left="1304" w:header="720" w:footer="720" w:gutter="0"/>
          <w:pgNumType w:start="1"/>
          <w:cols w:space="720"/>
          <w:titlePg/>
          <w:docGrid w:linePitch="360"/>
        </w:sectPr>
      </w:pPr>
    </w:p>
    <w:tbl>
      <w:tblPr>
        <w:tblStyle w:val="TableGrid"/>
        <w:tblW w:w="0" w:type="auto"/>
        <w:tblLook w:val="04A0" w:firstRow="1" w:lastRow="0" w:firstColumn="1" w:lastColumn="0" w:noHBand="0" w:noVBand="1"/>
      </w:tblPr>
      <w:tblGrid>
        <w:gridCol w:w="1712"/>
        <w:gridCol w:w="1910"/>
        <w:gridCol w:w="1840"/>
        <w:gridCol w:w="1951"/>
        <w:gridCol w:w="1937"/>
      </w:tblGrid>
      <w:tr w:rsidR="00CA1344" w:rsidRPr="004831AB" w14:paraId="3BBA2EC3" w14:textId="77777777" w:rsidTr="001F3BDC">
        <w:tc>
          <w:tcPr>
            <w:tcW w:w="2590" w:type="dxa"/>
            <w:vAlign w:val="center"/>
          </w:tcPr>
          <w:p w14:paraId="53608015" w14:textId="77777777" w:rsidR="00CA1344" w:rsidRPr="004831AB" w:rsidRDefault="00CA1344" w:rsidP="001F3BDC">
            <w:pPr>
              <w:jc w:val="cente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lastRenderedPageBreak/>
              <w:t>Посебан циљ</w:t>
            </w:r>
          </w:p>
        </w:tc>
        <w:tc>
          <w:tcPr>
            <w:tcW w:w="2590" w:type="dxa"/>
            <w:vAlign w:val="center"/>
          </w:tcPr>
          <w:p w14:paraId="381E9293" w14:textId="77777777" w:rsidR="00CA1344" w:rsidRPr="004831AB" w:rsidRDefault="00CA1344" w:rsidP="001F3BDC">
            <w:pPr>
              <w:jc w:val="cente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Активности/правци деловања политика</w:t>
            </w:r>
          </w:p>
        </w:tc>
        <w:tc>
          <w:tcPr>
            <w:tcW w:w="2590" w:type="dxa"/>
            <w:vAlign w:val="center"/>
          </w:tcPr>
          <w:p w14:paraId="07E9EF4B" w14:textId="77777777" w:rsidR="00CA1344" w:rsidRPr="004831AB" w:rsidRDefault="00CA1344" w:rsidP="001F3BDC">
            <w:pPr>
              <w:jc w:val="cente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Претпоставке</w:t>
            </w:r>
          </w:p>
        </w:tc>
        <w:tc>
          <w:tcPr>
            <w:tcW w:w="2590" w:type="dxa"/>
            <w:vAlign w:val="center"/>
          </w:tcPr>
          <w:p w14:paraId="348DB436" w14:textId="77777777" w:rsidR="00CA1344" w:rsidRPr="004831AB" w:rsidRDefault="00CA1344" w:rsidP="001F3BDC">
            <w:pPr>
              <w:jc w:val="cente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Опис ризика</w:t>
            </w:r>
          </w:p>
        </w:tc>
        <w:tc>
          <w:tcPr>
            <w:tcW w:w="2590" w:type="dxa"/>
            <w:vAlign w:val="center"/>
          </w:tcPr>
          <w:p w14:paraId="3B475CA6" w14:textId="77777777" w:rsidR="00CA1344" w:rsidRPr="004831AB" w:rsidRDefault="00CA1344" w:rsidP="001F3BDC">
            <w:pPr>
              <w:jc w:val="cente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Решење/мере за ублажавање ризика</w:t>
            </w:r>
          </w:p>
        </w:tc>
      </w:tr>
      <w:tr w:rsidR="00CA1344" w:rsidRPr="004831AB" w14:paraId="61626259" w14:textId="77777777" w:rsidTr="001F3BDC">
        <w:tc>
          <w:tcPr>
            <w:tcW w:w="12950" w:type="dxa"/>
            <w:gridSpan w:val="5"/>
          </w:tcPr>
          <w:p w14:paraId="70A0BC3D" w14:textId="77777777" w:rsidR="00CA1344" w:rsidRPr="004831AB" w:rsidRDefault="00CA1344" w:rsidP="001F3BDC">
            <w:pP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Предузетнички екосистем - Унапређено оперативно окружење и смањене препреке за пословање МСПП</w:t>
            </w:r>
          </w:p>
        </w:tc>
      </w:tr>
      <w:tr w:rsidR="00CA1344" w:rsidRPr="004831AB" w14:paraId="3DE43472" w14:textId="77777777" w:rsidTr="001F3BDC">
        <w:tc>
          <w:tcPr>
            <w:tcW w:w="2590" w:type="dxa"/>
          </w:tcPr>
          <w:p w14:paraId="1663E9A5"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1: Унапређено оперативно окружење и смањене препреке за пословање МСПП</w:t>
            </w:r>
          </w:p>
        </w:tc>
        <w:tc>
          <w:tcPr>
            <w:tcW w:w="2590" w:type="dxa"/>
          </w:tcPr>
          <w:p w14:paraId="12071558" w14:textId="0B341939" w:rsidR="002649E9"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Унапређе</w:t>
            </w:r>
            <w:r w:rsidR="00360377" w:rsidRPr="004831AB">
              <w:rPr>
                <w:rFonts w:ascii="Times New Roman" w:hAnsi="Times New Roman" w:cs="Times New Roman"/>
                <w:sz w:val="18"/>
                <w:szCs w:val="18"/>
                <w:lang w:val="sr-Cyrl-CS"/>
              </w:rPr>
              <w:t>ње</w:t>
            </w:r>
            <w:r w:rsidRPr="004831AB">
              <w:rPr>
                <w:rFonts w:ascii="Times New Roman" w:hAnsi="Times New Roman" w:cs="Times New Roman"/>
                <w:sz w:val="18"/>
                <w:szCs w:val="18"/>
                <w:lang w:val="sr-Cyrl-CS"/>
              </w:rPr>
              <w:t xml:space="preserve"> општ</w:t>
            </w:r>
            <w:r w:rsidR="00360377" w:rsidRPr="004831AB">
              <w:rPr>
                <w:rFonts w:ascii="Times New Roman" w:hAnsi="Times New Roman" w:cs="Times New Roman"/>
                <w:sz w:val="18"/>
                <w:szCs w:val="18"/>
                <w:lang w:val="sr-Cyrl-CS"/>
              </w:rPr>
              <w:t>ег</w:t>
            </w:r>
            <w:r w:rsidRPr="004831AB">
              <w:rPr>
                <w:rFonts w:ascii="Times New Roman" w:hAnsi="Times New Roman" w:cs="Times New Roman"/>
                <w:sz w:val="18"/>
                <w:szCs w:val="18"/>
                <w:lang w:val="sr-Cyrl-CS"/>
              </w:rPr>
              <w:t xml:space="preserve"> правн</w:t>
            </w:r>
            <w:r w:rsidR="00360377" w:rsidRPr="004831AB">
              <w:rPr>
                <w:rFonts w:ascii="Times New Roman" w:hAnsi="Times New Roman" w:cs="Times New Roman"/>
                <w:sz w:val="18"/>
                <w:szCs w:val="18"/>
                <w:lang w:val="sr-Cyrl-CS"/>
              </w:rPr>
              <w:t>ог</w:t>
            </w:r>
            <w:r w:rsidRPr="004831AB">
              <w:rPr>
                <w:rFonts w:ascii="Times New Roman" w:hAnsi="Times New Roman" w:cs="Times New Roman"/>
                <w:sz w:val="18"/>
                <w:szCs w:val="18"/>
                <w:lang w:val="sr-Cyrl-CS"/>
              </w:rPr>
              <w:t>, административн</w:t>
            </w:r>
            <w:r w:rsidR="00360377" w:rsidRPr="004831AB">
              <w:rPr>
                <w:rFonts w:ascii="Times New Roman" w:hAnsi="Times New Roman" w:cs="Times New Roman"/>
                <w:sz w:val="18"/>
                <w:szCs w:val="18"/>
                <w:lang w:val="sr-Cyrl-CS"/>
              </w:rPr>
              <w:t>ог</w:t>
            </w:r>
            <w:r w:rsidRPr="004831AB">
              <w:rPr>
                <w:rFonts w:ascii="Times New Roman" w:hAnsi="Times New Roman" w:cs="Times New Roman"/>
                <w:sz w:val="18"/>
                <w:szCs w:val="18"/>
                <w:lang w:val="sr-Cyrl-CS"/>
              </w:rPr>
              <w:t xml:space="preserve"> и пореск</w:t>
            </w:r>
            <w:r w:rsidR="00360377" w:rsidRPr="004831AB">
              <w:rPr>
                <w:rFonts w:ascii="Times New Roman" w:hAnsi="Times New Roman" w:cs="Times New Roman"/>
                <w:sz w:val="18"/>
                <w:szCs w:val="18"/>
                <w:lang w:val="sr-Cyrl-CS"/>
              </w:rPr>
              <w:t>ог</w:t>
            </w:r>
            <w:r w:rsidRPr="004831AB">
              <w:rPr>
                <w:rFonts w:ascii="Times New Roman" w:hAnsi="Times New Roman" w:cs="Times New Roman"/>
                <w:sz w:val="18"/>
                <w:szCs w:val="18"/>
                <w:lang w:val="sr-Cyrl-CS"/>
              </w:rPr>
              <w:t xml:space="preserve"> оквир</w:t>
            </w:r>
            <w:r w:rsidR="00360377" w:rsidRPr="004831AB">
              <w:rPr>
                <w:rFonts w:ascii="Times New Roman" w:hAnsi="Times New Roman" w:cs="Times New Roman"/>
                <w:sz w:val="18"/>
                <w:szCs w:val="18"/>
                <w:lang w:val="sr-Cyrl-CS"/>
              </w:rPr>
              <w:t>а</w:t>
            </w:r>
            <w:r w:rsidRPr="004831AB">
              <w:rPr>
                <w:rFonts w:ascii="Times New Roman" w:hAnsi="Times New Roman" w:cs="Times New Roman"/>
                <w:sz w:val="18"/>
                <w:szCs w:val="18"/>
                <w:lang w:val="sr-Cyrl-CS"/>
              </w:rPr>
              <w:t xml:space="preserve"> за отпочињање и развој пословања и „другу шансу</w:t>
            </w:r>
            <w:r w:rsidR="005D5678"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за МСПП</w:t>
            </w:r>
          </w:p>
        </w:tc>
        <w:tc>
          <w:tcPr>
            <w:tcW w:w="2590" w:type="dxa"/>
          </w:tcPr>
          <w:p w14:paraId="34CA7F80" w14:textId="01DFF98C" w:rsidR="002649E9" w:rsidRPr="004831AB" w:rsidRDefault="00891830"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Унапређење </w:t>
            </w:r>
            <w:r w:rsidR="00CA1344" w:rsidRPr="004831AB">
              <w:rPr>
                <w:rFonts w:ascii="Times New Roman" w:hAnsi="Times New Roman" w:cs="Times New Roman"/>
                <w:sz w:val="18"/>
                <w:szCs w:val="18"/>
                <w:lang w:val="sr-Cyrl-CS"/>
              </w:rPr>
              <w:t>досадашње праксе у припреми прописа и креирање афирмативнијег пословног окружења за развој предузетништва и раст и развој МСП</w:t>
            </w:r>
          </w:p>
        </w:tc>
        <w:tc>
          <w:tcPr>
            <w:tcW w:w="2590" w:type="dxa"/>
          </w:tcPr>
          <w:p w14:paraId="578A239F" w14:textId="1076CDB1" w:rsidR="002649E9"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Недовољна </w:t>
            </w:r>
            <w:r w:rsidR="00B86427" w:rsidRPr="004831AB">
              <w:rPr>
                <w:rFonts w:ascii="Times New Roman" w:hAnsi="Times New Roman" w:cs="Times New Roman"/>
                <w:sz w:val="18"/>
                <w:szCs w:val="18"/>
                <w:lang w:val="sr-Cyrl-CS"/>
              </w:rPr>
              <w:t xml:space="preserve">заинтересованост и укљученост </w:t>
            </w:r>
            <w:r w:rsidRPr="004831AB">
              <w:rPr>
                <w:rFonts w:ascii="Times New Roman" w:hAnsi="Times New Roman" w:cs="Times New Roman"/>
                <w:sz w:val="18"/>
                <w:szCs w:val="18"/>
                <w:lang w:val="sr-Cyrl-CS"/>
              </w:rPr>
              <w:t>представника МСПП за праћење и припрему за нове прописе и процедуре</w:t>
            </w:r>
          </w:p>
        </w:tc>
        <w:tc>
          <w:tcPr>
            <w:tcW w:w="2590" w:type="dxa"/>
          </w:tcPr>
          <w:p w14:paraId="69856798" w14:textId="7C7BE2A2" w:rsidR="002649E9"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Додатне и допунске обуке за представнике МСПП  и органа и институција одговорних за имплементацију нових прописа и процедура</w:t>
            </w:r>
          </w:p>
        </w:tc>
      </w:tr>
      <w:tr w:rsidR="00CA1344" w:rsidRPr="004831AB" w14:paraId="5D5FF8F6" w14:textId="77777777" w:rsidTr="001F3BDC">
        <w:tc>
          <w:tcPr>
            <w:tcW w:w="2590" w:type="dxa"/>
          </w:tcPr>
          <w:p w14:paraId="76BCC769"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1: Унапређено оперативно окружење и смањене препреке за пословање МСПП</w:t>
            </w:r>
          </w:p>
        </w:tc>
        <w:tc>
          <w:tcPr>
            <w:tcW w:w="2590" w:type="dxa"/>
          </w:tcPr>
          <w:p w14:paraId="433B0AB8"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Унапређење </w:t>
            </w:r>
            <w:r w:rsidR="00CA1344" w:rsidRPr="004831AB">
              <w:rPr>
                <w:rFonts w:ascii="Times New Roman" w:hAnsi="Times New Roman" w:cs="Times New Roman"/>
                <w:sz w:val="18"/>
                <w:szCs w:val="18"/>
                <w:lang w:val="sr-Cyrl-CS"/>
              </w:rPr>
              <w:t>приступ</w:t>
            </w:r>
            <w:r w:rsidRPr="004831AB">
              <w:rPr>
                <w:rFonts w:ascii="Times New Roman" w:hAnsi="Times New Roman" w:cs="Times New Roman"/>
                <w:sz w:val="18"/>
                <w:szCs w:val="18"/>
                <w:lang w:val="sr-Cyrl-CS"/>
              </w:rPr>
              <w:t>а</w:t>
            </w:r>
            <w:r w:rsidR="00CA1344" w:rsidRPr="004831AB">
              <w:rPr>
                <w:rFonts w:ascii="Times New Roman" w:hAnsi="Times New Roman" w:cs="Times New Roman"/>
                <w:sz w:val="18"/>
                <w:szCs w:val="18"/>
                <w:lang w:val="sr-Cyrl-CS"/>
              </w:rPr>
              <w:t xml:space="preserve"> МСПП кључној инфраструктури</w:t>
            </w:r>
          </w:p>
        </w:tc>
        <w:tc>
          <w:tcPr>
            <w:tcW w:w="2590" w:type="dxa"/>
          </w:tcPr>
          <w:p w14:paraId="4B170D2F"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Адекватно учешће, сарадња и допринос свих надлежних институција</w:t>
            </w:r>
          </w:p>
        </w:tc>
        <w:tc>
          <w:tcPr>
            <w:tcW w:w="2590" w:type="dxa"/>
          </w:tcPr>
          <w:p w14:paraId="4E61A3D5" w14:textId="77777777" w:rsidR="00CA1344" w:rsidRPr="004831AB" w:rsidRDefault="00CA1344" w:rsidP="00F97A73">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Инфраструктурни развој није равномеран и пружа неједнаке прилике за целовит развој сектора МСПП на читавој територији Р</w:t>
            </w:r>
            <w:r w:rsidR="00F97A73" w:rsidRPr="004831AB">
              <w:rPr>
                <w:rFonts w:ascii="Times New Roman" w:hAnsi="Times New Roman" w:cs="Times New Roman"/>
                <w:sz w:val="18"/>
                <w:szCs w:val="18"/>
                <w:lang w:val="sr-Cyrl-CS"/>
              </w:rPr>
              <w:t>епублике</w:t>
            </w:r>
            <w:r w:rsidRPr="004831AB">
              <w:rPr>
                <w:rFonts w:ascii="Times New Roman" w:hAnsi="Times New Roman" w:cs="Times New Roman"/>
                <w:sz w:val="18"/>
                <w:szCs w:val="18"/>
                <w:lang w:val="sr-Cyrl-CS"/>
              </w:rPr>
              <w:t xml:space="preserve"> Србије </w:t>
            </w:r>
          </w:p>
        </w:tc>
        <w:tc>
          <w:tcPr>
            <w:tcW w:w="2590" w:type="dxa"/>
          </w:tcPr>
          <w:p w14:paraId="12D70177"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Потребно је координирати рад надлежних министарстава за спровођење различитих програма за додатно унапређење инфраструктуре и координација рада са ЈЛС</w:t>
            </w:r>
          </w:p>
        </w:tc>
      </w:tr>
      <w:tr w:rsidR="00CA1344" w:rsidRPr="004831AB" w14:paraId="57B16E9E" w14:textId="77777777" w:rsidTr="001F3BDC">
        <w:tc>
          <w:tcPr>
            <w:tcW w:w="2590" w:type="dxa"/>
          </w:tcPr>
          <w:p w14:paraId="45DEE130"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1: Унапређено оперативно окружење и смањене препреке за пословање МСПП</w:t>
            </w:r>
          </w:p>
        </w:tc>
        <w:tc>
          <w:tcPr>
            <w:tcW w:w="2590" w:type="dxa"/>
          </w:tcPr>
          <w:p w14:paraId="1271D6E4"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Јачање капацитета институција за подршку МСПП и дијалога за развој са МСПП</w:t>
            </w:r>
          </w:p>
        </w:tc>
        <w:tc>
          <w:tcPr>
            <w:tcW w:w="2590" w:type="dxa"/>
          </w:tcPr>
          <w:p w14:paraId="344DA43F"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Заинтересованост како службеника тако и предузетника и власника МСП за ко-креирање јавних политика</w:t>
            </w:r>
          </w:p>
        </w:tc>
        <w:tc>
          <w:tcPr>
            <w:tcW w:w="2590" w:type="dxa"/>
          </w:tcPr>
          <w:p w14:paraId="21A2E04D" w14:textId="77777777" w:rsidR="00CA1344" w:rsidRPr="004831AB" w:rsidRDefault="00CA1344" w:rsidP="00F97A73">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Недовољни капацитети кључних институција за подршку сектору МСПП</w:t>
            </w:r>
          </w:p>
        </w:tc>
        <w:tc>
          <w:tcPr>
            <w:tcW w:w="2590" w:type="dxa"/>
          </w:tcPr>
          <w:p w14:paraId="0083B48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Неопходна је честа комуникација са представницима МСПП у сврху јачања оних капацитета управе који највише доприносе расту и развоју сектора МСПП.</w:t>
            </w:r>
          </w:p>
        </w:tc>
      </w:tr>
      <w:tr w:rsidR="00807BD0" w:rsidRPr="004831AB" w14:paraId="762F0A99" w14:textId="77777777" w:rsidTr="001F3BDC">
        <w:tc>
          <w:tcPr>
            <w:tcW w:w="2590" w:type="dxa"/>
          </w:tcPr>
          <w:p w14:paraId="5012A4C8" w14:textId="1494432D" w:rsidR="00807BD0" w:rsidRPr="004831AB" w:rsidRDefault="00807BD0"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1: Унапређено оперативно окружење и смањене препреке за пословање МСПП</w:t>
            </w:r>
          </w:p>
        </w:tc>
        <w:tc>
          <w:tcPr>
            <w:tcW w:w="2590" w:type="dxa"/>
          </w:tcPr>
          <w:p w14:paraId="76487CE5" w14:textId="72D44598" w:rsidR="00807BD0" w:rsidRPr="004831AB" w:rsidRDefault="00807BD0" w:rsidP="007E752E">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Формирање аналитичке основе на нивоу групе класификације делатности за утврђивање група МСПП на које прописи у припреми имају значајан утицај приликом спровођења М</w:t>
            </w:r>
            <w:r w:rsidR="007E752E" w:rsidRPr="004831AB">
              <w:rPr>
                <w:rFonts w:ascii="Times New Roman" w:hAnsi="Times New Roman" w:cs="Times New Roman"/>
                <w:sz w:val="18"/>
                <w:szCs w:val="18"/>
                <w:lang w:val="sr-Cyrl-CS"/>
              </w:rPr>
              <w:t>М</w:t>
            </w:r>
            <w:r w:rsidRPr="004831AB">
              <w:rPr>
                <w:rFonts w:ascii="Times New Roman" w:hAnsi="Times New Roman" w:cs="Times New Roman"/>
                <w:sz w:val="18"/>
                <w:szCs w:val="18"/>
                <w:lang w:val="sr-Cyrl-CS"/>
              </w:rPr>
              <w:t>СП</w:t>
            </w:r>
            <w:r w:rsidR="007E752E" w:rsidRPr="004831AB">
              <w:rPr>
                <w:rFonts w:ascii="Times New Roman" w:hAnsi="Times New Roman" w:cs="Times New Roman"/>
                <w:sz w:val="18"/>
                <w:szCs w:val="18"/>
                <w:lang w:val="sr-Cyrl-CS"/>
              </w:rPr>
              <w:t xml:space="preserve"> текста </w:t>
            </w:r>
          </w:p>
        </w:tc>
        <w:tc>
          <w:tcPr>
            <w:tcW w:w="2590" w:type="dxa"/>
          </w:tcPr>
          <w:p w14:paraId="55EC6124" w14:textId="3FA265EE" w:rsidR="00807BD0" w:rsidRPr="004831AB" w:rsidRDefault="00807BD0"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Постојање извора података на о</w:t>
            </w:r>
            <w:r w:rsidR="0059027D" w:rsidRPr="004831AB">
              <w:rPr>
                <w:rFonts w:ascii="Times New Roman" w:hAnsi="Times New Roman" w:cs="Times New Roman"/>
                <w:sz w:val="18"/>
                <w:szCs w:val="18"/>
                <w:lang w:val="sr-Cyrl-CS"/>
              </w:rPr>
              <w:t>с</w:t>
            </w:r>
            <w:r w:rsidRPr="004831AB">
              <w:rPr>
                <w:rFonts w:ascii="Times New Roman" w:hAnsi="Times New Roman" w:cs="Times New Roman"/>
                <w:sz w:val="18"/>
                <w:szCs w:val="18"/>
                <w:lang w:val="sr-Cyrl-CS"/>
              </w:rPr>
              <w:t>нову којих је могуће формирати ан</w:t>
            </w:r>
            <w:r w:rsidR="004831AB">
              <w:rPr>
                <w:rFonts w:ascii="Times New Roman" w:hAnsi="Times New Roman" w:cs="Times New Roman"/>
                <w:sz w:val="18"/>
                <w:szCs w:val="18"/>
                <w:lang w:val="sr-Cyrl-CS"/>
              </w:rPr>
              <w:t>а</w:t>
            </w:r>
            <w:r w:rsidRPr="004831AB">
              <w:rPr>
                <w:rFonts w:ascii="Times New Roman" w:hAnsi="Times New Roman" w:cs="Times New Roman"/>
                <w:sz w:val="18"/>
                <w:szCs w:val="18"/>
                <w:lang w:val="sr-Cyrl-CS"/>
              </w:rPr>
              <w:t>литичку основу на нивоу групе класификације делатности</w:t>
            </w:r>
          </w:p>
        </w:tc>
        <w:tc>
          <w:tcPr>
            <w:tcW w:w="2590" w:type="dxa"/>
          </w:tcPr>
          <w:p w14:paraId="685776F8" w14:textId="71777119" w:rsidR="00807BD0" w:rsidRPr="004831AB" w:rsidRDefault="00807BD0" w:rsidP="00F97A73">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Потреба повећања капацитета произвођача статистичких података (РЗС и Пореска управа)</w:t>
            </w:r>
          </w:p>
        </w:tc>
        <w:tc>
          <w:tcPr>
            <w:tcW w:w="2590" w:type="dxa"/>
          </w:tcPr>
          <w:p w14:paraId="7E7C0093" w14:textId="60337E79" w:rsidR="00807BD0" w:rsidRPr="004831AB" w:rsidRDefault="00807BD0" w:rsidP="004831AB">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Фазно обезбеђивање података на нивоу групе класификације делатности у складу са постојећим капацитетима и могућностима произвођача статистичких података</w:t>
            </w:r>
          </w:p>
        </w:tc>
      </w:tr>
      <w:tr w:rsidR="00CA1344" w:rsidRPr="004831AB" w14:paraId="4D5AB0C3" w14:textId="77777777" w:rsidTr="001F3BDC">
        <w:tc>
          <w:tcPr>
            <w:tcW w:w="12950" w:type="dxa"/>
            <w:gridSpan w:val="5"/>
          </w:tcPr>
          <w:p w14:paraId="4CED797E" w14:textId="3FFBEB42" w:rsidR="00CA1344" w:rsidRPr="004831AB" w:rsidRDefault="00CA1344" w:rsidP="001F3BDC">
            <w:pP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 xml:space="preserve">Иновативан, зелени и на дигитализацији заснован развој - </w:t>
            </w:r>
            <w:r w:rsidR="00CD64B3" w:rsidRPr="004831AB">
              <w:rPr>
                <w:rFonts w:ascii="Times New Roman" w:hAnsi="Times New Roman" w:cs="Times New Roman"/>
                <w:bCs/>
                <w:sz w:val="18"/>
                <w:szCs w:val="18"/>
                <w:lang w:val="sr-Cyrl-CS"/>
              </w:rPr>
              <w:t>оснажен сектор МСПП за дигиталну трансформацију и примену иновативних и зелених решења</w:t>
            </w:r>
          </w:p>
        </w:tc>
      </w:tr>
      <w:tr w:rsidR="00CA1344" w:rsidRPr="004831AB" w14:paraId="3CE857E3" w14:textId="77777777" w:rsidTr="001F3BDC">
        <w:tc>
          <w:tcPr>
            <w:tcW w:w="2590" w:type="dxa"/>
          </w:tcPr>
          <w:p w14:paraId="2B3C0873" w14:textId="77777777" w:rsidR="00CA1344" w:rsidRPr="004831AB" w:rsidRDefault="00CA1344" w:rsidP="001F3BDC">
            <w:pPr>
              <w:rPr>
                <w:rFonts w:ascii="Times New Roman" w:hAnsi="Times New Roman" w:cs="Times New Roman"/>
                <w:bCs/>
                <w:sz w:val="18"/>
                <w:szCs w:val="18"/>
                <w:lang w:val="sr-Cyrl-CS"/>
              </w:rPr>
            </w:pPr>
            <w:r w:rsidRPr="004831AB">
              <w:rPr>
                <w:rFonts w:ascii="Times New Roman" w:hAnsi="Times New Roman" w:cs="Times New Roman"/>
                <w:sz w:val="18"/>
                <w:szCs w:val="18"/>
                <w:lang w:val="sr-Cyrl-CS"/>
              </w:rPr>
              <w:t>Посебан циљ 2</w:t>
            </w:r>
            <w:r w:rsidRPr="004831AB">
              <w:rPr>
                <w:rFonts w:ascii="Times New Roman" w:hAnsi="Times New Roman" w:cs="Times New Roman"/>
                <w:bCs/>
                <w:sz w:val="18"/>
                <w:szCs w:val="18"/>
                <w:lang w:val="sr-Cyrl-CS"/>
              </w:rPr>
              <w:t xml:space="preserve">: </w:t>
            </w:r>
            <w:r w:rsidRPr="004831AB">
              <w:rPr>
                <w:rStyle w:val="Heading2Char"/>
                <w:rFonts w:cs="Times New Roman"/>
                <w:b w:val="0"/>
                <w:bCs/>
                <w:sz w:val="18"/>
                <w:szCs w:val="18"/>
                <w:lang w:val="sr-Cyrl-CS"/>
              </w:rPr>
              <w:t xml:space="preserve">Иновативан, зелени и на дигитализацији заснован развој </w:t>
            </w:r>
            <w:r w:rsidR="00360377" w:rsidRPr="004831AB">
              <w:rPr>
                <w:rStyle w:val="Heading2Char"/>
                <w:rFonts w:cs="Times New Roman"/>
                <w:b w:val="0"/>
                <w:bCs/>
                <w:sz w:val="18"/>
                <w:szCs w:val="18"/>
                <w:lang w:val="sr-Cyrl-CS"/>
              </w:rPr>
              <w:t>–</w:t>
            </w:r>
            <w:r w:rsidRPr="004831AB">
              <w:rPr>
                <w:rStyle w:val="Heading2Char"/>
                <w:rFonts w:cs="Times New Roman"/>
                <w:b w:val="0"/>
                <w:bCs/>
                <w:sz w:val="18"/>
                <w:szCs w:val="18"/>
                <w:lang w:val="sr-Cyrl-CS"/>
              </w:rPr>
              <w:t xml:space="preserve"> </w:t>
            </w:r>
            <w:r w:rsidR="00360377" w:rsidRPr="004831AB">
              <w:rPr>
                <w:rStyle w:val="Heading2Char"/>
                <w:rFonts w:cs="Times New Roman"/>
                <w:b w:val="0"/>
                <w:bCs/>
                <w:sz w:val="18"/>
                <w:szCs w:val="18"/>
                <w:lang w:val="sr-Cyrl-CS"/>
              </w:rPr>
              <w:t>о</w:t>
            </w:r>
            <w:r w:rsidR="00360377" w:rsidRPr="004831AB">
              <w:rPr>
                <w:rStyle w:val="Heading2Char"/>
                <w:b w:val="0"/>
                <w:bCs/>
                <w:sz w:val="18"/>
                <w:szCs w:val="18"/>
                <w:lang w:val="sr-Cyrl-CS"/>
              </w:rPr>
              <w:t xml:space="preserve">снажен </w:t>
            </w:r>
            <w:r w:rsidRPr="004831AB">
              <w:rPr>
                <w:rStyle w:val="Heading2Char"/>
                <w:rFonts w:cs="Times New Roman"/>
                <w:b w:val="0"/>
                <w:bCs/>
                <w:sz w:val="18"/>
                <w:szCs w:val="18"/>
                <w:lang w:val="sr-Cyrl-CS"/>
              </w:rPr>
              <w:t xml:space="preserve">сектор МСПП </w:t>
            </w:r>
            <w:r w:rsidR="00360377" w:rsidRPr="004831AB">
              <w:rPr>
                <w:rStyle w:val="Heading2Char"/>
                <w:rFonts w:cs="Times New Roman"/>
                <w:b w:val="0"/>
                <w:bCs/>
                <w:sz w:val="18"/>
                <w:szCs w:val="18"/>
                <w:lang w:val="sr-Cyrl-CS"/>
              </w:rPr>
              <w:t>з</w:t>
            </w:r>
            <w:r w:rsidR="00360377" w:rsidRPr="004831AB">
              <w:rPr>
                <w:rStyle w:val="Heading2Char"/>
                <w:b w:val="0"/>
                <w:bCs/>
                <w:sz w:val="18"/>
                <w:szCs w:val="18"/>
                <w:lang w:val="sr-Cyrl-CS"/>
              </w:rPr>
              <w:t xml:space="preserve">а дигиталну трансформацију и примену иновативних и зелених решења </w:t>
            </w:r>
          </w:p>
        </w:tc>
        <w:tc>
          <w:tcPr>
            <w:tcW w:w="2590" w:type="dxa"/>
          </w:tcPr>
          <w:p w14:paraId="391CF4ED"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Унапређе</w:t>
            </w:r>
            <w:r w:rsidR="00360377" w:rsidRPr="004831AB">
              <w:rPr>
                <w:rFonts w:ascii="Times New Roman" w:hAnsi="Times New Roman" w:cs="Times New Roman"/>
                <w:sz w:val="18"/>
                <w:szCs w:val="18"/>
                <w:lang w:val="sr-Cyrl-CS"/>
              </w:rPr>
              <w:t xml:space="preserve">ње иновативних капацитета </w:t>
            </w:r>
          </w:p>
        </w:tc>
        <w:tc>
          <w:tcPr>
            <w:tcW w:w="2590" w:type="dxa"/>
          </w:tcPr>
          <w:p w14:paraId="26ECF713"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Иновативност је једна од најзначајнијих предиктора брзог раста МСПП</w:t>
            </w:r>
          </w:p>
        </w:tc>
        <w:tc>
          <w:tcPr>
            <w:tcW w:w="2590" w:type="dxa"/>
          </w:tcPr>
          <w:p w14:paraId="6BCF589C"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Недовољно коришћење подршке за развој иновативности МСПП</w:t>
            </w:r>
          </w:p>
        </w:tc>
        <w:tc>
          <w:tcPr>
            <w:tcW w:w="2590" w:type="dxa"/>
          </w:tcPr>
          <w:p w14:paraId="0C87482B"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Потребна је активнија промоција и развој програма подршке иновативности МСПП</w:t>
            </w:r>
          </w:p>
        </w:tc>
      </w:tr>
      <w:tr w:rsidR="00CA1344" w:rsidRPr="004831AB" w14:paraId="46229C09" w14:textId="77777777" w:rsidTr="001F3BDC">
        <w:tc>
          <w:tcPr>
            <w:tcW w:w="2590" w:type="dxa"/>
          </w:tcPr>
          <w:p w14:paraId="38807722"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Посебан циљ 2: Иновативан, зелени и на дигитализацији </w:t>
            </w:r>
            <w:r w:rsidRPr="004831AB">
              <w:rPr>
                <w:rFonts w:ascii="Times New Roman" w:hAnsi="Times New Roman" w:cs="Times New Roman"/>
                <w:sz w:val="18"/>
                <w:szCs w:val="18"/>
                <w:lang w:val="sr-Cyrl-CS"/>
              </w:rPr>
              <w:lastRenderedPageBreak/>
              <w:t xml:space="preserve">заснован развој - </w:t>
            </w:r>
            <w:r w:rsidR="00360377" w:rsidRPr="004831AB">
              <w:rPr>
                <w:rStyle w:val="Heading2Char"/>
                <w:rFonts w:cs="Times New Roman"/>
                <w:b w:val="0"/>
                <w:bCs/>
                <w:sz w:val="18"/>
                <w:szCs w:val="18"/>
                <w:lang w:val="sr-Cyrl-CS"/>
              </w:rPr>
              <w:t>о</w:t>
            </w:r>
            <w:r w:rsidR="00360377" w:rsidRPr="004831AB">
              <w:rPr>
                <w:rStyle w:val="Heading2Char"/>
                <w:b w:val="0"/>
                <w:bCs/>
                <w:sz w:val="18"/>
                <w:szCs w:val="18"/>
                <w:lang w:val="sr-Cyrl-CS"/>
              </w:rPr>
              <w:t xml:space="preserve">снажен </w:t>
            </w:r>
            <w:r w:rsidR="00360377" w:rsidRPr="004831AB">
              <w:rPr>
                <w:rStyle w:val="Heading2Char"/>
                <w:rFonts w:cs="Times New Roman"/>
                <w:b w:val="0"/>
                <w:bCs/>
                <w:sz w:val="18"/>
                <w:szCs w:val="18"/>
                <w:lang w:val="sr-Cyrl-CS"/>
              </w:rPr>
              <w:t>сектор МСПП з</w:t>
            </w:r>
            <w:r w:rsidR="00360377" w:rsidRPr="004831AB">
              <w:rPr>
                <w:rStyle w:val="Heading2Char"/>
                <w:b w:val="0"/>
                <w:bCs/>
                <w:sz w:val="18"/>
                <w:szCs w:val="18"/>
                <w:lang w:val="sr-Cyrl-CS"/>
              </w:rPr>
              <w:t>а дигиталну трансформацију и примену иновативних и зелених решења</w:t>
            </w:r>
          </w:p>
        </w:tc>
        <w:tc>
          <w:tcPr>
            <w:tcW w:w="2590" w:type="dxa"/>
          </w:tcPr>
          <w:p w14:paraId="33671AC2"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 xml:space="preserve">Подршка </w:t>
            </w:r>
            <w:r w:rsidR="00CA1344" w:rsidRPr="004831AB">
              <w:rPr>
                <w:rFonts w:ascii="Times New Roman" w:hAnsi="Times New Roman" w:cs="Times New Roman"/>
                <w:sz w:val="18"/>
                <w:szCs w:val="18"/>
                <w:lang w:val="sr-Cyrl-CS"/>
              </w:rPr>
              <w:t>МСПП за примену зелене агенде у пословању</w:t>
            </w:r>
          </w:p>
        </w:tc>
        <w:tc>
          <w:tcPr>
            <w:tcW w:w="2590" w:type="dxa"/>
          </w:tcPr>
          <w:p w14:paraId="157A624A"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Креирана мапа пута о изазовима МСПП.</w:t>
            </w:r>
          </w:p>
          <w:p w14:paraId="1319743F"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Успостављена платформа за </w:t>
            </w:r>
            <w:r w:rsidRPr="004831AB">
              <w:rPr>
                <w:rFonts w:ascii="Times New Roman" w:hAnsi="Times New Roman" w:cs="Times New Roman"/>
                <w:sz w:val="18"/>
                <w:szCs w:val="18"/>
                <w:lang w:val="sr-Cyrl-CS"/>
              </w:rPr>
              <w:lastRenderedPageBreak/>
              <w:t>циркуларну економију.</w:t>
            </w:r>
          </w:p>
          <w:p w14:paraId="528D53AD"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Креирана јасна методологија за укључивање зелених критеријума.</w:t>
            </w:r>
          </w:p>
        </w:tc>
        <w:tc>
          <w:tcPr>
            <w:tcW w:w="2590" w:type="dxa"/>
          </w:tcPr>
          <w:p w14:paraId="12CFF5EF"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 xml:space="preserve">Инфлаторни и други макроекономски притисци угрожавају спремност МСПП за </w:t>
            </w:r>
            <w:r w:rsidRPr="004831AB">
              <w:rPr>
                <w:rFonts w:ascii="Times New Roman" w:hAnsi="Times New Roman" w:cs="Times New Roman"/>
                <w:sz w:val="18"/>
                <w:szCs w:val="18"/>
                <w:lang w:val="sr-Cyrl-CS"/>
              </w:rPr>
              <w:lastRenderedPageBreak/>
              <w:t>повећан допринос остваривању свих циљева одрживости</w:t>
            </w:r>
          </w:p>
        </w:tc>
        <w:tc>
          <w:tcPr>
            <w:tcW w:w="2590" w:type="dxa"/>
          </w:tcPr>
          <w:p w14:paraId="4F1A7C62" w14:textId="589B6839" w:rsidR="00CA1344" w:rsidRPr="004831AB" w:rsidRDefault="00CD6BF8"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Потребно је а</w:t>
            </w:r>
            <w:r w:rsidR="00CA1344" w:rsidRPr="004831AB">
              <w:rPr>
                <w:rFonts w:ascii="Times New Roman" w:hAnsi="Times New Roman" w:cs="Times New Roman"/>
                <w:sz w:val="18"/>
                <w:szCs w:val="18"/>
                <w:lang w:val="sr-Cyrl-CS"/>
              </w:rPr>
              <w:t xml:space="preserve">ктивно радити на јачању свести и олакшати приступ фондовима </w:t>
            </w:r>
            <w:r w:rsidR="00CA1344" w:rsidRPr="004831AB">
              <w:rPr>
                <w:rFonts w:ascii="Times New Roman" w:hAnsi="Times New Roman" w:cs="Times New Roman"/>
                <w:sz w:val="18"/>
                <w:szCs w:val="18"/>
                <w:lang w:val="sr-Cyrl-CS"/>
              </w:rPr>
              <w:lastRenderedPageBreak/>
              <w:t>чији је циљ озелењавање пословања</w:t>
            </w:r>
          </w:p>
        </w:tc>
      </w:tr>
      <w:tr w:rsidR="00CA1344" w:rsidRPr="004831AB" w14:paraId="65C7BFE8" w14:textId="77777777" w:rsidTr="001F3BDC">
        <w:tc>
          <w:tcPr>
            <w:tcW w:w="2590" w:type="dxa"/>
          </w:tcPr>
          <w:p w14:paraId="38C8D65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 xml:space="preserve">Посебан циљ 2: Иновативан, зелени и на дигитализацији заснован развој - </w:t>
            </w:r>
            <w:r w:rsidR="00360377" w:rsidRPr="004831AB">
              <w:rPr>
                <w:rStyle w:val="Heading2Char"/>
                <w:rFonts w:cs="Times New Roman"/>
                <w:b w:val="0"/>
                <w:bCs/>
                <w:sz w:val="18"/>
                <w:szCs w:val="18"/>
                <w:lang w:val="sr-Cyrl-CS"/>
              </w:rPr>
              <w:t>о</w:t>
            </w:r>
            <w:r w:rsidR="00360377" w:rsidRPr="004831AB">
              <w:rPr>
                <w:rStyle w:val="Heading2Char"/>
                <w:b w:val="0"/>
                <w:bCs/>
                <w:sz w:val="18"/>
                <w:szCs w:val="18"/>
                <w:lang w:val="sr-Cyrl-CS"/>
              </w:rPr>
              <w:t xml:space="preserve">снажен </w:t>
            </w:r>
            <w:r w:rsidR="00360377" w:rsidRPr="004831AB">
              <w:rPr>
                <w:rStyle w:val="Heading2Char"/>
                <w:rFonts w:cs="Times New Roman"/>
                <w:b w:val="0"/>
                <w:bCs/>
                <w:sz w:val="18"/>
                <w:szCs w:val="18"/>
                <w:lang w:val="sr-Cyrl-CS"/>
              </w:rPr>
              <w:t>сектор МСПП з</w:t>
            </w:r>
            <w:r w:rsidR="00360377" w:rsidRPr="004831AB">
              <w:rPr>
                <w:rStyle w:val="Heading2Char"/>
                <w:b w:val="0"/>
                <w:bCs/>
                <w:sz w:val="18"/>
                <w:szCs w:val="18"/>
                <w:lang w:val="sr-Cyrl-CS"/>
              </w:rPr>
              <w:t>а дигиталну трансформацију и примену иновативних и зелених решења</w:t>
            </w:r>
          </w:p>
        </w:tc>
        <w:tc>
          <w:tcPr>
            <w:tcW w:w="2590" w:type="dxa"/>
          </w:tcPr>
          <w:p w14:paraId="0BD3B5FA"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Подршка МСПП за дигиталну трансформацију и развој е-трговине</w:t>
            </w:r>
          </w:p>
        </w:tc>
        <w:tc>
          <w:tcPr>
            <w:tcW w:w="2590" w:type="dxa"/>
          </w:tcPr>
          <w:p w14:paraId="53F900A6"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Развијена методологија програма за дигиталну трансформацију </w:t>
            </w:r>
            <w:r w:rsidR="00CA26F3" w:rsidRPr="004831AB">
              <w:rPr>
                <w:rFonts w:ascii="Times New Roman" w:hAnsi="Times New Roman" w:cs="Times New Roman"/>
                <w:sz w:val="18"/>
                <w:szCs w:val="18"/>
                <w:lang w:val="sr-Cyrl-CS"/>
              </w:rPr>
              <w:t>МСПП</w:t>
            </w:r>
            <w:r w:rsidRPr="004831AB">
              <w:rPr>
                <w:rFonts w:ascii="Times New Roman" w:hAnsi="Times New Roman" w:cs="Times New Roman"/>
                <w:sz w:val="18"/>
                <w:szCs w:val="18"/>
                <w:lang w:val="sr-Cyrl-CS"/>
              </w:rPr>
              <w:t>.</w:t>
            </w:r>
          </w:p>
          <w:p w14:paraId="129ACF6D"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Довољна спремност заинтересованих страна за убрзану дигитализацију </w:t>
            </w:r>
          </w:p>
        </w:tc>
        <w:tc>
          <w:tcPr>
            <w:tcW w:w="2590" w:type="dxa"/>
          </w:tcPr>
          <w:p w14:paraId="58144A62"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Дигитализација пословања омогућава квалитативни „скок</w:t>
            </w:r>
            <w:r w:rsidR="00F97A73"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у развоју МСПП. Већински део сектора МСПП послује у радно-интензивном и недовољно дигитализованом окружењу</w:t>
            </w:r>
          </w:p>
        </w:tc>
        <w:tc>
          <w:tcPr>
            <w:tcW w:w="2590" w:type="dxa"/>
          </w:tcPr>
          <w:p w14:paraId="1D767DE0" w14:textId="2A146866" w:rsidR="00CA1344" w:rsidRPr="004831AB" w:rsidRDefault="001D468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Потребно је</w:t>
            </w:r>
            <w:r w:rsidR="00CA1344" w:rsidRPr="004831AB">
              <w:rPr>
                <w:rFonts w:ascii="Times New Roman" w:hAnsi="Times New Roman" w:cs="Times New Roman"/>
                <w:sz w:val="18"/>
                <w:szCs w:val="18"/>
                <w:lang w:val="sr-Cyrl-CS"/>
              </w:rPr>
              <w:t xml:space="preserve"> активно унапређивати програме финансијске и нефинансијске подршке сектору МСПП за подстицање дигиталне трансформације МСПП</w:t>
            </w:r>
          </w:p>
        </w:tc>
      </w:tr>
      <w:tr w:rsidR="00CA1344" w:rsidRPr="004831AB" w14:paraId="72E5AEAF" w14:textId="77777777" w:rsidTr="001F3BDC">
        <w:tc>
          <w:tcPr>
            <w:tcW w:w="12950" w:type="dxa"/>
            <w:gridSpan w:val="5"/>
          </w:tcPr>
          <w:p w14:paraId="3B1A16B3" w14:textId="77777777" w:rsidR="00CA1344" w:rsidRPr="004831AB" w:rsidRDefault="00CA1344" w:rsidP="001F3BDC">
            <w:pP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Конкурентан МСПП сектор – Ојачана конкурентност МСПП на домаћем и страном тржишту</w:t>
            </w:r>
          </w:p>
        </w:tc>
      </w:tr>
      <w:tr w:rsidR="00CA1344" w:rsidRPr="004831AB" w14:paraId="3B7A8760" w14:textId="77777777" w:rsidTr="001F3BDC">
        <w:tc>
          <w:tcPr>
            <w:tcW w:w="2590" w:type="dxa"/>
          </w:tcPr>
          <w:p w14:paraId="706B71B9"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3: Ојачана конкурентност МСПП на домаћем и страном тржишту</w:t>
            </w:r>
          </w:p>
        </w:tc>
        <w:tc>
          <w:tcPr>
            <w:tcW w:w="2590" w:type="dxa"/>
          </w:tcPr>
          <w:p w14:paraId="64F6B3AD"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Подршка МСПП за јачање капацитета за управљање људским капиталом </w:t>
            </w:r>
          </w:p>
        </w:tc>
        <w:tc>
          <w:tcPr>
            <w:tcW w:w="2590" w:type="dxa"/>
          </w:tcPr>
          <w:p w14:paraId="6757DC3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Консензус око реформе образовног система и јачања дуалног образовања</w:t>
            </w:r>
          </w:p>
        </w:tc>
        <w:tc>
          <w:tcPr>
            <w:tcW w:w="2590" w:type="dxa"/>
          </w:tcPr>
          <w:p w14:paraId="30A85185"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Људски ресурси су кључна компонента опстанка, раста и развоја МСПП. Негативни демографски трендови и недовољно активна „циркулација мозгова</w:t>
            </w:r>
            <w:r w:rsidR="00F97A73"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смањују капацитете МСПП</w:t>
            </w:r>
          </w:p>
        </w:tc>
        <w:tc>
          <w:tcPr>
            <w:tcW w:w="2590" w:type="dxa"/>
          </w:tcPr>
          <w:p w14:paraId="444C3ADA"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Потребно је додатно јачати капацитете формалног образовног система и неформалног образовања са циљем добијања што је могуће спремнијих људских ресурса</w:t>
            </w:r>
          </w:p>
        </w:tc>
      </w:tr>
      <w:tr w:rsidR="00CA1344" w:rsidRPr="004831AB" w14:paraId="3D44F796" w14:textId="77777777" w:rsidTr="001F3BDC">
        <w:tc>
          <w:tcPr>
            <w:tcW w:w="2590" w:type="dxa"/>
          </w:tcPr>
          <w:p w14:paraId="66A840F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3: Ојачана конкурентност МСПП на домаћем и страном тржишту</w:t>
            </w:r>
          </w:p>
        </w:tc>
        <w:tc>
          <w:tcPr>
            <w:tcW w:w="2590" w:type="dxa"/>
          </w:tcPr>
          <w:p w14:paraId="5FD154CA" w14:textId="6EFFE19E" w:rsidR="00CA1344" w:rsidRPr="004831AB" w:rsidRDefault="00360377" w:rsidP="004831AB">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Интензивирање подршке</w:t>
            </w:r>
            <w:r w:rsidR="00CA1344" w:rsidRPr="004831AB">
              <w:rPr>
                <w:rFonts w:ascii="Times New Roman" w:hAnsi="Times New Roman" w:cs="Times New Roman"/>
                <w:sz w:val="18"/>
                <w:szCs w:val="18"/>
                <w:lang w:val="sr-Cyrl-CS"/>
              </w:rPr>
              <w:t xml:space="preserve"> за инвестирање,  приступ финансирању и реализацији финансијских трансакција МСПП</w:t>
            </w:r>
            <w:r w:rsidRPr="004831AB">
              <w:rPr>
                <w:rFonts w:ascii="Times New Roman" w:hAnsi="Times New Roman" w:cs="Times New Roman"/>
                <w:sz w:val="18"/>
                <w:szCs w:val="18"/>
                <w:lang w:val="sr-Cyrl-CS"/>
              </w:rPr>
              <w:t xml:space="preserve"> кроз постојеће и нове програме</w:t>
            </w:r>
          </w:p>
        </w:tc>
        <w:tc>
          <w:tcPr>
            <w:tcW w:w="2590" w:type="dxa"/>
            <w:vMerge w:val="restart"/>
            <w:vAlign w:val="center"/>
          </w:tcPr>
          <w:p w14:paraId="7CAEBC65"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Спремност банака и других финансијских институција за унапређење постојећих и развој нових производа за МСПП сектор</w:t>
            </w:r>
          </w:p>
        </w:tc>
        <w:tc>
          <w:tcPr>
            <w:tcW w:w="2590" w:type="dxa"/>
            <w:vMerge w:val="restart"/>
            <w:vAlign w:val="center"/>
          </w:tcPr>
          <w:p w14:paraId="567E67ED"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Недовољни капацитети сектора МСПП за излазак на нова тржишта и успешно превазилажење царинских и нецаринских баријера</w:t>
            </w:r>
          </w:p>
        </w:tc>
        <w:tc>
          <w:tcPr>
            <w:tcW w:w="2590" w:type="dxa"/>
            <w:vMerge w:val="restart"/>
            <w:vAlign w:val="center"/>
          </w:tcPr>
          <w:p w14:paraId="4A65C50A"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Стабилни процес интеграције у ЕУ и јачање спољнотрговинских односа билатералним и мултилатералним уговорима</w:t>
            </w:r>
          </w:p>
        </w:tc>
      </w:tr>
      <w:tr w:rsidR="00CA1344" w:rsidRPr="004831AB" w14:paraId="07D5D548" w14:textId="77777777" w:rsidTr="001F3BDC">
        <w:tc>
          <w:tcPr>
            <w:tcW w:w="2590" w:type="dxa"/>
          </w:tcPr>
          <w:p w14:paraId="19DAFF00"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3: Ојачана конкурентност МСПП на домаћем и страном тржишту</w:t>
            </w:r>
          </w:p>
        </w:tc>
        <w:tc>
          <w:tcPr>
            <w:tcW w:w="2590" w:type="dxa"/>
          </w:tcPr>
          <w:p w14:paraId="01755DBF"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w:t>
            </w:r>
            <w:r w:rsidR="00CA1344" w:rsidRPr="004831AB">
              <w:rPr>
                <w:rFonts w:ascii="Times New Roman" w:hAnsi="Times New Roman" w:cs="Times New Roman"/>
                <w:sz w:val="18"/>
                <w:szCs w:val="18"/>
                <w:lang w:val="sr-Cyrl-CS"/>
              </w:rPr>
              <w:t>одршка МСПП за ширења на нова тржишта</w:t>
            </w:r>
          </w:p>
        </w:tc>
        <w:tc>
          <w:tcPr>
            <w:tcW w:w="2590" w:type="dxa"/>
            <w:vMerge/>
          </w:tcPr>
          <w:p w14:paraId="0E9A2B73" w14:textId="77777777" w:rsidR="00CA1344" w:rsidRPr="004831AB" w:rsidRDefault="00CA1344" w:rsidP="001F3BDC">
            <w:pPr>
              <w:rPr>
                <w:rFonts w:ascii="Times New Roman" w:hAnsi="Times New Roman" w:cs="Times New Roman"/>
                <w:sz w:val="18"/>
                <w:szCs w:val="18"/>
                <w:lang w:val="sr-Cyrl-CS"/>
              </w:rPr>
            </w:pPr>
          </w:p>
        </w:tc>
        <w:tc>
          <w:tcPr>
            <w:tcW w:w="2590" w:type="dxa"/>
            <w:vMerge/>
          </w:tcPr>
          <w:p w14:paraId="4B81A40F" w14:textId="77777777" w:rsidR="00CA1344" w:rsidRPr="004831AB" w:rsidRDefault="00CA1344" w:rsidP="001F3BDC">
            <w:pPr>
              <w:rPr>
                <w:rFonts w:ascii="Times New Roman" w:hAnsi="Times New Roman" w:cs="Times New Roman"/>
                <w:sz w:val="18"/>
                <w:szCs w:val="18"/>
                <w:lang w:val="sr-Cyrl-CS"/>
              </w:rPr>
            </w:pPr>
          </w:p>
        </w:tc>
        <w:tc>
          <w:tcPr>
            <w:tcW w:w="2590" w:type="dxa"/>
            <w:vMerge/>
          </w:tcPr>
          <w:p w14:paraId="477FAB27" w14:textId="77777777" w:rsidR="00CA1344" w:rsidRPr="004831AB" w:rsidRDefault="00CA1344" w:rsidP="001F3BDC">
            <w:pPr>
              <w:rPr>
                <w:rFonts w:ascii="Times New Roman" w:hAnsi="Times New Roman" w:cs="Times New Roman"/>
                <w:sz w:val="18"/>
                <w:szCs w:val="18"/>
                <w:lang w:val="sr-Cyrl-CS"/>
              </w:rPr>
            </w:pPr>
          </w:p>
        </w:tc>
      </w:tr>
      <w:tr w:rsidR="00CA1344" w:rsidRPr="004831AB" w14:paraId="3F2EDA3F" w14:textId="77777777" w:rsidTr="001F3BDC">
        <w:tc>
          <w:tcPr>
            <w:tcW w:w="2590" w:type="dxa"/>
          </w:tcPr>
          <w:p w14:paraId="3163E407"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3: Ојачана конкурентност МСПП на домаћем и страном тржишту</w:t>
            </w:r>
          </w:p>
        </w:tc>
        <w:tc>
          <w:tcPr>
            <w:tcW w:w="2590" w:type="dxa"/>
          </w:tcPr>
          <w:p w14:paraId="6E272062" w14:textId="77777777" w:rsidR="001A7436" w:rsidRPr="004831AB" w:rsidRDefault="001A7436" w:rsidP="001F3BDC">
            <w:pPr>
              <w:rPr>
                <w:rFonts w:ascii="Times New Roman" w:hAnsi="Times New Roman" w:cs="Times New Roman"/>
                <w:bCs/>
                <w:sz w:val="18"/>
                <w:szCs w:val="18"/>
                <w:lang w:val="sr-Cyrl-CS"/>
              </w:rPr>
            </w:pPr>
            <w:r w:rsidRPr="004831AB">
              <w:rPr>
                <w:rFonts w:ascii="Times New Roman" w:hAnsi="Times New Roman" w:cs="Times New Roman"/>
                <w:bCs/>
                <w:sz w:val="18"/>
                <w:szCs w:val="18"/>
                <w:lang w:val="sr-Cyrl-CS"/>
              </w:rPr>
              <w:t>Промовисање</w:t>
            </w:r>
          </w:p>
          <w:p w14:paraId="602FB536" w14:textId="25DB6E6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пословног повезивања МСПП </w:t>
            </w:r>
          </w:p>
        </w:tc>
        <w:tc>
          <w:tcPr>
            <w:tcW w:w="2590" w:type="dxa"/>
          </w:tcPr>
          <w:p w14:paraId="2147BC33"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Удруживање предузетника омогућава креирање синергетског ефекта и бржи раст и развој</w:t>
            </w:r>
          </w:p>
        </w:tc>
        <w:tc>
          <w:tcPr>
            <w:tcW w:w="2590" w:type="dxa"/>
          </w:tcPr>
          <w:p w14:paraId="580BB35D"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Изразито слабо поверење међу МСПП и недовољно развијен ауторитет пословних удружења</w:t>
            </w:r>
          </w:p>
        </w:tc>
        <w:tc>
          <w:tcPr>
            <w:tcW w:w="2590" w:type="dxa"/>
          </w:tcPr>
          <w:p w14:paraId="53ECD186" w14:textId="28B15123" w:rsidR="00CA1344" w:rsidRPr="004831AB" w:rsidRDefault="001D468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Потребно је </w:t>
            </w:r>
            <w:r w:rsidR="00CA1344" w:rsidRPr="004831AB">
              <w:rPr>
                <w:rFonts w:ascii="Times New Roman" w:hAnsi="Times New Roman" w:cs="Times New Roman"/>
                <w:sz w:val="18"/>
                <w:szCs w:val="18"/>
                <w:lang w:val="sr-Cyrl-CS"/>
              </w:rPr>
              <w:t>креирати посебне позитивне мере за унапређено повезивање МСПП и јачање поверења међу битним стејкхолдерима</w:t>
            </w:r>
          </w:p>
        </w:tc>
      </w:tr>
      <w:tr w:rsidR="00CA1344" w:rsidRPr="004831AB" w14:paraId="11FBBEA0" w14:textId="77777777" w:rsidTr="001F3BDC">
        <w:tc>
          <w:tcPr>
            <w:tcW w:w="2590" w:type="dxa"/>
          </w:tcPr>
          <w:p w14:paraId="03777131"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3: Ојачана конкурентност МСПП на домаћем и страном тржишту</w:t>
            </w:r>
          </w:p>
        </w:tc>
        <w:tc>
          <w:tcPr>
            <w:tcW w:w="2590" w:type="dxa"/>
          </w:tcPr>
          <w:p w14:paraId="183E1129" w14:textId="77777777" w:rsidR="00CA1344" w:rsidRPr="004831AB" w:rsidRDefault="00360377"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Јачање </w:t>
            </w:r>
            <w:r w:rsidR="00CA1344" w:rsidRPr="004831AB">
              <w:rPr>
                <w:rFonts w:ascii="Times New Roman" w:hAnsi="Times New Roman" w:cs="Times New Roman"/>
                <w:sz w:val="18"/>
                <w:szCs w:val="18"/>
                <w:lang w:val="sr-Cyrl-CS"/>
              </w:rPr>
              <w:t>отпорност</w:t>
            </w:r>
            <w:r w:rsidRPr="004831AB">
              <w:rPr>
                <w:rFonts w:ascii="Times New Roman" w:hAnsi="Times New Roman" w:cs="Times New Roman"/>
                <w:sz w:val="18"/>
                <w:szCs w:val="18"/>
                <w:lang w:val="sr-Cyrl-CS"/>
              </w:rPr>
              <w:t xml:space="preserve">и </w:t>
            </w:r>
            <w:r w:rsidR="00CA1344" w:rsidRPr="004831AB">
              <w:rPr>
                <w:rFonts w:ascii="Times New Roman" w:hAnsi="Times New Roman" w:cs="Times New Roman"/>
                <w:sz w:val="18"/>
                <w:szCs w:val="18"/>
                <w:lang w:val="sr-Cyrl-CS"/>
              </w:rPr>
              <w:t>МСПП на кризе</w:t>
            </w:r>
          </w:p>
        </w:tc>
        <w:tc>
          <w:tcPr>
            <w:tcW w:w="2590" w:type="dxa"/>
          </w:tcPr>
          <w:p w14:paraId="202519C1"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Постојање брзог протока информација о поремећајима на тржишту узрокованих </w:t>
            </w:r>
            <w:r w:rsidRPr="004831AB">
              <w:rPr>
                <w:rFonts w:ascii="Times New Roman" w:hAnsi="Times New Roman" w:cs="Times New Roman"/>
                <w:sz w:val="18"/>
                <w:szCs w:val="18"/>
                <w:lang w:val="sr-Cyrl-CS"/>
              </w:rPr>
              <w:lastRenderedPageBreak/>
              <w:t>екстерним факторима.</w:t>
            </w:r>
          </w:p>
          <w:p w14:paraId="4A59BC02"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Довољни кадровски капацитети са развијеним компетенцијама за праћење кризних удара на сектор МСПП</w:t>
            </w:r>
          </w:p>
        </w:tc>
        <w:tc>
          <w:tcPr>
            <w:tcW w:w="2590" w:type="dxa"/>
          </w:tcPr>
          <w:p w14:paraId="6F8E69B9"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 xml:space="preserve">Сектор МСПП је изразито осетљив на негативна кретања на макроекономском и спољнотрговинском нивоу. Нестабилно економско и </w:t>
            </w:r>
            <w:r w:rsidRPr="004831AB">
              <w:rPr>
                <w:rFonts w:ascii="Times New Roman" w:hAnsi="Times New Roman" w:cs="Times New Roman"/>
                <w:sz w:val="18"/>
                <w:szCs w:val="18"/>
                <w:lang w:val="sr-Cyrl-CS"/>
              </w:rPr>
              <w:lastRenderedPageBreak/>
              <w:t>трговинско окружење и потенцијални удари</w:t>
            </w:r>
            <w:r w:rsidR="00F97A73"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на ликвидност МСПП</w:t>
            </w:r>
          </w:p>
        </w:tc>
        <w:tc>
          <w:tcPr>
            <w:tcW w:w="2590" w:type="dxa"/>
          </w:tcPr>
          <w:p w14:paraId="457AC59C"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lastRenderedPageBreak/>
              <w:t>Потребно је активно симулирати деловање макроекономских и спољнотрговинских ризика са циљем оптимизације кризног одговора</w:t>
            </w:r>
          </w:p>
        </w:tc>
      </w:tr>
      <w:tr w:rsidR="00CA1344" w:rsidRPr="004831AB" w14:paraId="2834E889" w14:textId="77777777" w:rsidTr="001F3BDC">
        <w:tc>
          <w:tcPr>
            <w:tcW w:w="12950" w:type="dxa"/>
            <w:gridSpan w:val="5"/>
          </w:tcPr>
          <w:p w14:paraId="01CCC883"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Инклузиван МСПП сектор и оснажен предузетнички дух – Ојачана предузетничка иницијатива и већа шанса за улазак у предузетништво за различите циљне групе</w:t>
            </w:r>
          </w:p>
        </w:tc>
      </w:tr>
      <w:tr w:rsidR="00CA1344" w:rsidRPr="004831AB" w14:paraId="631F2ADD" w14:textId="77777777" w:rsidTr="001F3BDC">
        <w:tc>
          <w:tcPr>
            <w:tcW w:w="2590" w:type="dxa"/>
          </w:tcPr>
          <w:p w14:paraId="10C9AA4A"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4: Ојачана предузетничка иницијатива и већа шанса за улазак у предузетништво за различите циљне групе</w:t>
            </w:r>
          </w:p>
        </w:tc>
        <w:tc>
          <w:tcPr>
            <w:tcW w:w="2590" w:type="dxa"/>
          </w:tcPr>
          <w:p w14:paraId="23968D2F" w14:textId="06FB445C" w:rsidR="00CA1344" w:rsidRPr="004831AB" w:rsidRDefault="001B0CE9"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 xml:space="preserve">Подстицање </w:t>
            </w:r>
            <w:r w:rsidR="00CA1344" w:rsidRPr="004831AB">
              <w:rPr>
                <w:rFonts w:ascii="Times New Roman" w:hAnsi="Times New Roman" w:cs="Times New Roman"/>
                <w:sz w:val="18"/>
                <w:szCs w:val="18"/>
                <w:lang w:val="sr-Cyrl-CS"/>
              </w:rPr>
              <w:t>предузетничк</w:t>
            </w:r>
            <w:r w:rsidRPr="004831AB">
              <w:rPr>
                <w:rFonts w:ascii="Times New Roman" w:hAnsi="Times New Roman" w:cs="Times New Roman"/>
                <w:sz w:val="18"/>
                <w:szCs w:val="18"/>
                <w:lang w:val="sr-Cyrl-CS"/>
              </w:rPr>
              <w:t>ог</w:t>
            </w:r>
            <w:r w:rsidR="00CA1344" w:rsidRPr="004831AB">
              <w:rPr>
                <w:rFonts w:ascii="Times New Roman" w:hAnsi="Times New Roman" w:cs="Times New Roman"/>
                <w:sz w:val="18"/>
                <w:szCs w:val="18"/>
                <w:lang w:val="sr-Cyrl-CS"/>
              </w:rPr>
              <w:t xml:space="preserve"> дух</w:t>
            </w:r>
            <w:r w:rsidRPr="004831AB">
              <w:rPr>
                <w:rFonts w:ascii="Times New Roman" w:hAnsi="Times New Roman" w:cs="Times New Roman"/>
                <w:sz w:val="18"/>
                <w:szCs w:val="18"/>
                <w:lang w:val="sr-Cyrl-CS"/>
              </w:rPr>
              <w:t>а</w:t>
            </w:r>
            <w:r w:rsidR="00CA1344" w:rsidRPr="004831AB">
              <w:rPr>
                <w:rFonts w:ascii="Times New Roman" w:hAnsi="Times New Roman" w:cs="Times New Roman"/>
                <w:sz w:val="18"/>
                <w:szCs w:val="18"/>
                <w:lang w:val="sr-Cyrl-CS"/>
              </w:rPr>
              <w:t xml:space="preserve"> и </w:t>
            </w:r>
            <w:r w:rsidRPr="004831AB">
              <w:rPr>
                <w:rFonts w:ascii="Times New Roman" w:hAnsi="Times New Roman" w:cs="Times New Roman"/>
                <w:sz w:val="18"/>
                <w:szCs w:val="18"/>
                <w:lang w:val="sr-Cyrl-CS"/>
              </w:rPr>
              <w:t xml:space="preserve">подршкама </w:t>
            </w:r>
            <w:r w:rsidR="00CA1344" w:rsidRPr="004831AB">
              <w:rPr>
                <w:rFonts w:ascii="Times New Roman" w:hAnsi="Times New Roman" w:cs="Times New Roman"/>
                <w:sz w:val="18"/>
                <w:szCs w:val="18"/>
                <w:lang w:val="sr-Cyrl-CS"/>
              </w:rPr>
              <w:t>почетници</w:t>
            </w:r>
            <w:r w:rsidR="00326CA7" w:rsidRPr="004831AB">
              <w:rPr>
                <w:rFonts w:ascii="Times New Roman" w:hAnsi="Times New Roman" w:cs="Times New Roman"/>
                <w:sz w:val="18"/>
                <w:szCs w:val="18"/>
                <w:lang w:val="sr-Cyrl-CS"/>
              </w:rPr>
              <w:t>ма</w:t>
            </w:r>
            <w:r w:rsidR="00CA1344" w:rsidRPr="004831AB">
              <w:rPr>
                <w:rFonts w:ascii="Times New Roman" w:hAnsi="Times New Roman" w:cs="Times New Roman"/>
                <w:sz w:val="18"/>
                <w:szCs w:val="18"/>
                <w:lang w:val="sr-Cyrl-CS"/>
              </w:rPr>
              <w:t xml:space="preserve"> у бизнису</w:t>
            </w:r>
          </w:p>
        </w:tc>
        <w:tc>
          <w:tcPr>
            <w:tcW w:w="2590" w:type="dxa"/>
          </w:tcPr>
          <w:p w14:paraId="61B315AB"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Обједињавање свих релевантних садржаја за предузетништво на једном месту</w:t>
            </w:r>
          </w:p>
        </w:tc>
        <w:tc>
          <w:tcPr>
            <w:tcW w:w="2590" w:type="dxa"/>
          </w:tcPr>
          <w:p w14:paraId="2E5339E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Недовољно дуга култура предузетничког размишљања континуирано девалвира тежњу за развојем предузетничких подухвата. Промотивне активности ка развоју предузетништва још увек немају довољан „одјек</w:t>
            </w:r>
            <w:r w:rsidR="00F97A73"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у јавности</w:t>
            </w:r>
          </w:p>
        </w:tc>
        <w:tc>
          <w:tcPr>
            <w:tcW w:w="2590" w:type="dxa"/>
          </w:tcPr>
          <w:p w14:paraId="49E14BA1" w14:textId="2DE87974" w:rsidR="00CA1344" w:rsidRPr="004831AB" w:rsidRDefault="00CD6BF8"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Потребно је а</w:t>
            </w:r>
            <w:r w:rsidR="00CA1344" w:rsidRPr="004831AB">
              <w:rPr>
                <w:rFonts w:ascii="Times New Roman" w:hAnsi="Times New Roman" w:cs="Times New Roman"/>
                <w:sz w:val="18"/>
                <w:szCs w:val="18"/>
                <w:lang w:val="sr-Cyrl-CS"/>
              </w:rPr>
              <w:t>ктивно и континуирано радити на прилагођавању комуникацијског и едукацијског садржаја превасходно ка почетницима у пословању</w:t>
            </w:r>
          </w:p>
        </w:tc>
      </w:tr>
      <w:tr w:rsidR="00CA1344" w:rsidRPr="004831AB" w14:paraId="28ABBF58" w14:textId="77777777" w:rsidTr="001F3BDC">
        <w:tc>
          <w:tcPr>
            <w:tcW w:w="2590" w:type="dxa"/>
          </w:tcPr>
          <w:p w14:paraId="3DBC5626"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Посебан циљ 4: Ојачана предузетничка иницијатива и већа шанса за улазак у предузетништво за различите циљне групе</w:t>
            </w:r>
          </w:p>
        </w:tc>
        <w:tc>
          <w:tcPr>
            <w:tcW w:w="2590" w:type="dxa"/>
          </w:tcPr>
          <w:p w14:paraId="7D41BEED" w14:textId="77777777" w:rsidR="00CA1344" w:rsidRPr="004831AB" w:rsidRDefault="001B0CE9"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Интензивирање подршке</w:t>
            </w:r>
            <w:r w:rsidR="00CA1344" w:rsidRPr="004831AB">
              <w:rPr>
                <w:rFonts w:ascii="Times New Roman" w:hAnsi="Times New Roman" w:cs="Times New Roman"/>
                <w:sz w:val="18"/>
                <w:szCs w:val="18"/>
                <w:lang w:val="sr-Cyrl-CS"/>
              </w:rPr>
              <w:t xml:space="preserve"> већој инклузивности развоја МСПП</w:t>
            </w:r>
          </w:p>
        </w:tc>
        <w:tc>
          <w:tcPr>
            <w:tcW w:w="2590" w:type="dxa"/>
          </w:tcPr>
          <w:p w14:paraId="5E46831B"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Унапређено статистичко праћење предузетништва суштински неједнакоправних и маргинализованих група.</w:t>
            </w:r>
          </w:p>
          <w:p w14:paraId="52208A22"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Спремност суштински неједнакоправних и маргинализованих група за отпочињање предузетничких подухвата</w:t>
            </w:r>
          </w:p>
        </w:tc>
        <w:tc>
          <w:tcPr>
            <w:tcW w:w="2590" w:type="dxa"/>
          </w:tcPr>
          <w:p w14:paraId="456026B3"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Формална пословна једнакоправност за отпочињање или вођење „малог бизниса</w:t>
            </w:r>
            <w:r w:rsidR="00F97A73" w:rsidRPr="004831AB">
              <w:rPr>
                <w:rFonts w:ascii="Times New Roman" w:hAnsi="Times New Roman" w:cs="Times New Roman"/>
                <w:sz w:val="18"/>
                <w:szCs w:val="18"/>
                <w:lang w:val="sr-Cyrl-CS"/>
              </w:rPr>
              <w:t>”</w:t>
            </w:r>
            <w:r w:rsidRPr="004831AB">
              <w:rPr>
                <w:rFonts w:ascii="Times New Roman" w:hAnsi="Times New Roman" w:cs="Times New Roman"/>
                <w:sz w:val="18"/>
                <w:szCs w:val="18"/>
                <w:lang w:val="sr-Cyrl-CS"/>
              </w:rPr>
              <w:t xml:space="preserve"> није рефлектована у пракси . Демографске карактеристике (пол, године, национална и друга припадност) битно нарушавају једнаку шансу за вођење успешног МСПП</w:t>
            </w:r>
          </w:p>
        </w:tc>
        <w:tc>
          <w:tcPr>
            <w:tcW w:w="2590" w:type="dxa"/>
          </w:tcPr>
          <w:p w14:paraId="14B96D88" w14:textId="77777777" w:rsidR="00CA1344" w:rsidRPr="004831AB" w:rsidRDefault="00CA1344" w:rsidP="001F3BDC">
            <w:pPr>
              <w:rPr>
                <w:rFonts w:ascii="Times New Roman" w:hAnsi="Times New Roman" w:cs="Times New Roman"/>
                <w:sz w:val="18"/>
                <w:szCs w:val="18"/>
                <w:lang w:val="sr-Cyrl-CS"/>
              </w:rPr>
            </w:pPr>
            <w:r w:rsidRPr="004831AB">
              <w:rPr>
                <w:rFonts w:ascii="Times New Roman" w:hAnsi="Times New Roman" w:cs="Times New Roman"/>
                <w:sz w:val="18"/>
                <w:szCs w:val="18"/>
                <w:lang w:val="sr-Cyrl-CS"/>
              </w:rPr>
              <w:t>Одабране активности активне политике јачању инклузивности сектора МСПП треба да буду често ре-евалуиране са циљем оптималне алокације расположивих фондова (укључујући бесповратна, кредитна и гаранцијска средства)</w:t>
            </w:r>
          </w:p>
        </w:tc>
      </w:tr>
    </w:tbl>
    <w:p w14:paraId="7B0724F6" w14:textId="140B588F" w:rsidR="009740C3" w:rsidRPr="004831AB" w:rsidRDefault="009740C3" w:rsidP="00CA1344">
      <w:pPr>
        <w:rPr>
          <w:lang w:val="sr-Cyrl-CS"/>
        </w:rPr>
      </w:pPr>
    </w:p>
    <w:p w14:paraId="12511382" w14:textId="77777777" w:rsidR="009B57E7" w:rsidRPr="004831AB" w:rsidRDefault="009B57E7" w:rsidP="00CA1344">
      <w:pPr>
        <w:rPr>
          <w:lang w:val="sr-Cyrl-CS"/>
        </w:rPr>
      </w:pPr>
    </w:p>
    <w:p w14:paraId="662C2A7E" w14:textId="77777777" w:rsidR="00B25EF2" w:rsidRPr="004831AB" w:rsidRDefault="00BC105B" w:rsidP="005B0E9B">
      <w:pPr>
        <w:pStyle w:val="Heading1"/>
        <w:jc w:val="center"/>
        <w:rPr>
          <w:b w:val="0"/>
          <w:sz w:val="24"/>
          <w:szCs w:val="24"/>
          <w:lang w:val="sr-Cyrl-CS"/>
        </w:rPr>
      </w:pPr>
      <w:r w:rsidRPr="004831AB">
        <w:rPr>
          <w:b w:val="0"/>
          <w:sz w:val="24"/>
          <w:szCs w:val="24"/>
          <w:lang w:val="sr-Cyrl-CS"/>
        </w:rPr>
        <w:t>Акциони план</w:t>
      </w:r>
    </w:p>
    <w:p w14:paraId="0B5987E7" w14:textId="77777777" w:rsidR="009210FA" w:rsidRPr="004831AB" w:rsidRDefault="009210FA" w:rsidP="009210FA">
      <w:pPr>
        <w:rPr>
          <w:lang w:val="sr-Cyrl-CS"/>
        </w:rPr>
      </w:pPr>
    </w:p>
    <w:p w14:paraId="3C54E531" w14:textId="20D990A0" w:rsidR="00B834B2" w:rsidRPr="004831AB" w:rsidRDefault="00B834B2" w:rsidP="008D1BB5">
      <w:pPr>
        <w:ind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Акциони план за примену Стратегије</w:t>
      </w:r>
      <w:r w:rsidR="008D1BB5" w:rsidRPr="004831AB">
        <w:rPr>
          <w:rFonts w:ascii="Times New Roman" w:hAnsi="Times New Roman" w:cs="Times New Roman"/>
          <w:sz w:val="24"/>
          <w:szCs w:val="24"/>
          <w:lang w:val="sr-Cyrl-CS"/>
        </w:rPr>
        <w:t>, са П</w:t>
      </w:r>
      <w:r w:rsidR="00777466" w:rsidRPr="004831AB">
        <w:rPr>
          <w:rFonts w:ascii="Times New Roman" w:hAnsi="Times New Roman" w:cs="Times New Roman"/>
          <w:sz w:val="24"/>
          <w:szCs w:val="24"/>
          <w:lang w:val="sr-Cyrl-CS"/>
        </w:rPr>
        <w:t xml:space="preserve">рилогом </w:t>
      </w:r>
      <w:r w:rsidR="0079431B" w:rsidRPr="004831AB">
        <w:rPr>
          <w:rFonts w:ascii="Times New Roman" w:hAnsi="Times New Roman" w:cs="Times New Roman"/>
          <w:sz w:val="24"/>
          <w:szCs w:val="24"/>
          <w:lang w:val="sr-Cyrl-CS"/>
        </w:rPr>
        <w:t>2</w:t>
      </w:r>
      <w:r w:rsidR="008D1BB5" w:rsidRPr="004831AB">
        <w:rPr>
          <w:rFonts w:ascii="Times New Roman" w:hAnsi="Times New Roman" w:cs="Times New Roman"/>
          <w:sz w:val="24"/>
          <w:szCs w:val="24"/>
          <w:lang w:val="sr-Cyrl-CS"/>
        </w:rPr>
        <w:t xml:space="preserve"> - Листа скраћеница,</w:t>
      </w:r>
      <w:r w:rsidRPr="004831AB">
        <w:rPr>
          <w:rFonts w:ascii="Times New Roman" w:hAnsi="Times New Roman" w:cs="Times New Roman"/>
          <w:sz w:val="24"/>
          <w:szCs w:val="24"/>
          <w:lang w:val="sr-Cyrl-CS"/>
        </w:rPr>
        <w:t xml:space="preserve"> одштампан</w:t>
      </w:r>
      <w:r w:rsidR="00B81BF3" w:rsidRPr="004831AB">
        <w:rPr>
          <w:rFonts w:ascii="Times New Roman" w:hAnsi="Times New Roman" w:cs="Times New Roman"/>
          <w:sz w:val="24"/>
          <w:szCs w:val="24"/>
          <w:lang w:val="sr-Cyrl-CS"/>
        </w:rPr>
        <w:t xml:space="preserve"> је уз ову стратегију и чини њен</w:t>
      </w:r>
      <w:r w:rsidRPr="004831AB">
        <w:rPr>
          <w:rFonts w:ascii="Times New Roman" w:hAnsi="Times New Roman" w:cs="Times New Roman"/>
          <w:sz w:val="24"/>
          <w:szCs w:val="24"/>
          <w:lang w:val="sr-Cyrl-CS"/>
        </w:rPr>
        <w:t xml:space="preserve"> саставни део.</w:t>
      </w:r>
    </w:p>
    <w:p w14:paraId="03D7E9A4" w14:textId="77777777" w:rsidR="009B57E7" w:rsidRPr="004831AB" w:rsidRDefault="009B57E7" w:rsidP="005B0E9B">
      <w:pPr>
        <w:ind w:firstLine="720"/>
        <w:rPr>
          <w:rFonts w:ascii="Times New Roman" w:hAnsi="Times New Roman" w:cs="Times New Roman"/>
          <w:sz w:val="24"/>
          <w:szCs w:val="24"/>
          <w:lang w:val="sr-Cyrl-CS"/>
        </w:rPr>
      </w:pPr>
    </w:p>
    <w:p w14:paraId="07BD5A25" w14:textId="6EC3AE04" w:rsidR="009B57E7" w:rsidRPr="004831AB" w:rsidRDefault="009B57E7" w:rsidP="00B65CB0">
      <w:pPr>
        <w:rPr>
          <w:rFonts w:cs="Times New Roman"/>
          <w:sz w:val="24"/>
          <w:szCs w:val="24"/>
          <w:lang w:val="sr-Cyrl-CS"/>
        </w:rPr>
      </w:pPr>
    </w:p>
    <w:p w14:paraId="63F7B49B" w14:textId="1BD4F054" w:rsidR="009B57E7" w:rsidRPr="004831AB" w:rsidRDefault="009B57E7" w:rsidP="00B65CB0">
      <w:pPr>
        <w:rPr>
          <w:rFonts w:cs="Times New Roman"/>
          <w:sz w:val="24"/>
          <w:szCs w:val="24"/>
          <w:lang w:val="sr-Cyrl-CS"/>
        </w:rPr>
      </w:pPr>
    </w:p>
    <w:p w14:paraId="53149869" w14:textId="108CFEB8" w:rsidR="009B57E7" w:rsidRPr="004831AB" w:rsidRDefault="009B57E7" w:rsidP="00B65CB0">
      <w:pPr>
        <w:rPr>
          <w:rFonts w:cs="Times New Roman"/>
          <w:sz w:val="24"/>
          <w:szCs w:val="24"/>
          <w:lang w:val="sr-Cyrl-CS"/>
        </w:rPr>
      </w:pPr>
    </w:p>
    <w:p w14:paraId="0C149683" w14:textId="77777777" w:rsidR="009B57E7" w:rsidRPr="004831AB" w:rsidRDefault="009B57E7" w:rsidP="00B65CB0">
      <w:pPr>
        <w:rPr>
          <w:rFonts w:cs="Times New Roman"/>
          <w:sz w:val="24"/>
          <w:szCs w:val="24"/>
          <w:lang w:val="sr-Cyrl-CS"/>
        </w:rPr>
      </w:pPr>
    </w:p>
    <w:p w14:paraId="47670EEC" w14:textId="1FD69733" w:rsidR="00F62F2E" w:rsidRPr="004831AB" w:rsidRDefault="006D4838" w:rsidP="005B0E9B">
      <w:pPr>
        <w:pStyle w:val="Heading1"/>
        <w:jc w:val="center"/>
        <w:rPr>
          <w:b w:val="0"/>
          <w:szCs w:val="28"/>
          <w:lang w:val="sr-Cyrl-CS"/>
        </w:rPr>
      </w:pPr>
      <w:bookmarkStart w:id="13" w:name="_Toc63452469"/>
      <w:bookmarkStart w:id="14" w:name="_Toc63587104"/>
      <w:r w:rsidRPr="004831AB">
        <w:rPr>
          <w:b w:val="0"/>
          <w:sz w:val="24"/>
          <w:szCs w:val="24"/>
          <w:lang w:val="sr-Cyrl-CS"/>
        </w:rPr>
        <w:t xml:space="preserve"> </w:t>
      </w:r>
      <w:r w:rsidR="00F62F2E" w:rsidRPr="004831AB">
        <w:rPr>
          <w:b w:val="0"/>
          <w:sz w:val="24"/>
          <w:szCs w:val="24"/>
          <w:lang w:val="sr-Cyrl-CS"/>
        </w:rPr>
        <w:t>Завршне</w:t>
      </w:r>
      <w:r w:rsidR="00F62F2E" w:rsidRPr="004831AB">
        <w:rPr>
          <w:b w:val="0"/>
          <w:szCs w:val="28"/>
          <w:lang w:val="sr-Cyrl-CS"/>
        </w:rPr>
        <w:t xml:space="preserve"> </w:t>
      </w:r>
      <w:r w:rsidR="00F62F2E" w:rsidRPr="004831AB">
        <w:rPr>
          <w:b w:val="0"/>
          <w:sz w:val="24"/>
          <w:szCs w:val="24"/>
          <w:lang w:val="sr-Cyrl-CS"/>
        </w:rPr>
        <w:t>одредбе</w:t>
      </w:r>
      <w:bookmarkEnd w:id="13"/>
      <w:bookmarkEnd w:id="14"/>
    </w:p>
    <w:p w14:paraId="0AAF1283" w14:textId="0C65F820" w:rsidR="00410016" w:rsidRPr="004831AB" w:rsidRDefault="00410016" w:rsidP="00410016">
      <w:pPr>
        <w:spacing w:after="0" w:line="240" w:lineRule="auto"/>
        <w:ind w:left="72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Саставни део ове стратегије чини </w:t>
      </w:r>
      <w:r w:rsidR="00EC77AB" w:rsidRPr="004831AB">
        <w:rPr>
          <w:rFonts w:ascii="Times New Roman" w:hAnsi="Times New Roman" w:cs="Times New Roman"/>
          <w:sz w:val="24"/>
          <w:szCs w:val="24"/>
          <w:lang w:val="sr-Cyrl-CS"/>
        </w:rPr>
        <w:t xml:space="preserve">Прилог </w:t>
      </w:r>
      <w:r w:rsidR="003E4512" w:rsidRPr="004831AB">
        <w:rPr>
          <w:rFonts w:ascii="Times New Roman" w:hAnsi="Times New Roman" w:cs="Times New Roman"/>
          <w:sz w:val="24"/>
          <w:szCs w:val="24"/>
          <w:lang w:val="sr-Cyrl-CS"/>
        </w:rPr>
        <w:t xml:space="preserve">1 </w:t>
      </w:r>
      <w:r w:rsidR="00EC77AB" w:rsidRPr="004831AB">
        <w:rPr>
          <w:rFonts w:ascii="Times New Roman" w:hAnsi="Times New Roman" w:cs="Times New Roman"/>
          <w:sz w:val="24"/>
          <w:szCs w:val="24"/>
          <w:lang w:val="sr-Cyrl-CS"/>
        </w:rPr>
        <w:t xml:space="preserve">- </w:t>
      </w:r>
      <w:r w:rsidRPr="004831AB">
        <w:rPr>
          <w:rFonts w:ascii="Times New Roman" w:hAnsi="Times New Roman" w:cs="Times New Roman"/>
          <w:sz w:val="24"/>
          <w:szCs w:val="24"/>
          <w:lang w:val="sr-Cyrl-CS"/>
        </w:rPr>
        <w:t>Листа скраћеница, која је одштампана уз ову стратегију</w:t>
      </w:r>
      <w:r w:rsidR="00D91172" w:rsidRPr="004831AB">
        <w:rPr>
          <w:rFonts w:ascii="Times New Roman" w:hAnsi="Times New Roman" w:cs="Times New Roman"/>
          <w:sz w:val="24"/>
          <w:szCs w:val="24"/>
          <w:lang w:val="sr-Cyrl-CS"/>
        </w:rPr>
        <w:t>.</w:t>
      </w:r>
    </w:p>
    <w:p w14:paraId="566A46FB" w14:textId="77777777" w:rsidR="00410016" w:rsidRPr="004831AB" w:rsidRDefault="00410016" w:rsidP="00410016">
      <w:pPr>
        <w:spacing w:after="0" w:line="240" w:lineRule="auto"/>
        <w:ind w:left="720" w:firstLine="720"/>
        <w:jc w:val="both"/>
        <w:rPr>
          <w:rFonts w:ascii="Times New Roman" w:hAnsi="Times New Roman" w:cs="Times New Roman"/>
          <w:sz w:val="24"/>
          <w:szCs w:val="24"/>
          <w:lang w:val="sr-Cyrl-CS"/>
        </w:rPr>
      </w:pPr>
    </w:p>
    <w:p w14:paraId="57B443D5" w14:textId="1216AB1C" w:rsidR="00F62F2E" w:rsidRPr="004831AB" w:rsidRDefault="00F62F2E" w:rsidP="00410016">
      <w:pPr>
        <w:spacing w:after="0" w:line="240" w:lineRule="auto"/>
        <w:ind w:left="72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Ову стратегију објавити на интернет страници Владе, интернет страници Министарства</w:t>
      </w:r>
      <w:r w:rsidR="008E6B8B" w:rsidRPr="004831AB">
        <w:rPr>
          <w:rFonts w:ascii="Times New Roman" w:hAnsi="Times New Roman" w:cs="Times New Roman"/>
          <w:sz w:val="24"/>
          <w:szCs w:val="24"/>
          <w:lang w:val="sr-Cyrl-CS"/>
        </w:rPr>
        <w:t xml:space="preserve"> привреде</w:t>
      </w:r>
      <w:r w:rsidRPr="004831AB">
        <w:rPr>
          <w:rFonts w:ascii="Times New Roman" w:hAnsi="Times New Roman" w:cs="Times New Roman"/>
          <w:sz w:val="24"/>
          <w:szCs w:val="24"/>
          <w:lang w:val="sr-Cyrl-CS"/>
        </w:rPr>
        <w:t xml:space="preserve"> и порталу е-Управе, у року од седам радних дана од дана усвајања. </w:t>
      </w:r>
    </w:p>
    <w:p w14:paraId="50C09D32" w14:textId="77777777" w:rsidR="009776EA" w:rsidRPr="004831AB" w:rsidRDefault="009776EA" w:rsidP="002A0F6C">
      <w:pPr>
        <w:spacing w:after="0" w:line="240" w:lineRule="auto"/>
        <w:jc w:val="both"/>
        <w:rPr>
          <w:rFonts w:ascii="Times New Roman" w:hAnsi="Times New Roman" w:cs="Times New Roman"/>
          <w:sz w:val="24"/>
          <w:szCs w:val="24"/>
          <w:lang w:val="sr-Cyrl-CS"/>
        </w:rPr>
      </w:pPr>
    </w:p>
    <w:p w14:paraId="399B22E3" w14:textId="2491D5D5" w:rsidR="00F62F2E" w:rsidRPr="004831AB" w:rsidRDefault="00F62F2E" w:rsidP="00410016">
      <w:pPr>
        <w:spacing w:after="0" w:line="240" w:lineRule="auto"/>
        <w:ind w:left="720" w:firstLine="720"/>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Ову стратегију објавити у „Службеном гласнику Републике Србије</w:t>
      </w:r>
      <w:r w:rsidR="008E6B8B" w:rsidRPr="004831AB">
        <w:rPr>
          <w:rFonts w:ascii="Times New Roman" w:eastAsia="Calibri" w:hAnsi="Times New Roman" w:cs="Times New Roman"/>
          <w:lang w:val="sr-Cyrl-CS"/>
        </w:rPr>
        <w:t>”</w:t>
      </w:r>
      <w:r w:rsidRPr="004831AB">
        <w:rPr>
          <w:rFonts w:ascii="Times New Roman" w:hAnsi="Times New Roman" w:cs="Times New Roman"/>
          <w:sz w:val="24"/>
          <w:szCs w:val="24"/>
          <w:lang w:val="sr-Cyrl-CS"/>
        </w:rPr>
        <w:t xml:space="preserve">. </w:t>
      </w:r>
    </w:p>
    <w:p w14:paraId="09C51391" w14:textId="77777777" w:rsidR="002A0F6C" w:rsidRPr="004831AB" w:rsidRDefault="002A0F6C" w:rsidP="002A0F6C">
      <w:pPr>
        <w:spacing w:after="0" w:line="240" w:lineRule="auto"/>
        <w:ind w:firstLine="720"/>
        <w:jc w:val="both"/>
        <w:rPr>
          <w:rFonts w:ascii="Times New Roman" w:hAnsi="Times New Roman" w:cs="Times New Roman"/>
          <w:sz w:val="24"/>
          <w:szCs w:val="24"/>
          <w:lang w:val="sr-Cyrl-CS"/>
        </w:rPr>
      </w:pPr>
    </w:p>
    <w:p w14:paraId="02118AF9" w14:textId="77777777"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0F963682" w14:textId="62000CAF" w:rsidR="009740C3" w:rsidRPr="004831AB" w:rsidRDefault="000877C9" w:rsidP="006D483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05 </w:t>
      </w:r>
      <w:r w:rsidR="006D4838" w:rsidRPr="004831AB">
        <w:rPr>
          <w:rFonts w:ascii="Times New Roman" w:hAnsi="Times New Roman" w:cs="Times New Roman"/>
          <w:sz w:val="24"/>
          <w:szCs w:val="24"/>
          <w:lang w:val="sr-Cyrl-CS"/>
        </w:rPr>
        <w:t>Број:</w:t>
      </w:r>
      <w:r>
        <w:rPr>
          <w:rFonts w:ascii="Times New Roman" w:hAnsi="Times New Roman" w:cs="Times New Roman"/>
          <w:sz w:val="24"/>
          <w:szCs w:val="24"/>
          <w:lang w:val="sr-Cyrl-CS"/>
        </w:rPr>
        <w:t xml:space="preserve"> 023-10275/2023</w:t>
      </w:r>
    </w:p>
    <w:p w14:paraId="1E661F0C" w14:textId="7513FBCA" w:rsidR="006D4838" w:rsidRPr="004831AB" w:rsidRDefault="006D4838" w:rsidP="006D4838">
      <w:pPr>
        <w:spacing w:after="0" w:line="240" w:lineRule="auto"/>
        <w:jc w:val="both"/>
        <w:rPr>
          <w:rFonts w:ascii="Times New Roman" w:hAnsi="Times New Roman" w:cs="Times New Roman"/>
          <w:sz w:val="24"/>
          <w:szCs w:val="24"/>
          <w:lang w:val="sr-Cyrl-CS"/>
        </w:rPr>
      </w:pPr>
      <w:r w:rsidRPr="004831AB">
        <w:rPr>
          <w:rFonts w:ascii="Times New Roman" w:hAnsi="Times New Roman" w:cs="Times New Roman"/>
          <w:sz w:val="24"/>
          <w:szCs w:val="24"/>
          <w:lang w:val="sr-Cyrl-CS"/>
        </w:rPr>
        <w:t>У Београду, 26. октобра 2023. године</w:t>
      </w:r>
    </w:p>
    <w:p w14:paraId="1AAF6D05" w14:textId="7958545D"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4CA96EBE" w14:textId="77777777"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0C106396" w14:textId="5A32456B" w:rsidR="006D4838" w:rsidRPr="004831AB" w:rsidRDefault="006D4838" w:rsidP="006D4838">
      <w:pPr>
        <w:spacing w:after="0" w:line="240" w:lineRule="auto"/>
        <w:ind w:firstLine="720"/>
        <w:jc w:val="center"/>
        <w:rPr>
          <w:rFonts w:ascii="Times New Roman" w:hAnsi="Times New Roman" w:cs="Times New Roman"/>
          <w:sz w:val="24"/>
          <w:szCs w:val="24"/>
          <w:lang w:val="sr-Cyrl-CS"/>
        </w:rPr>
      </w:pPr>
      <w:r w:rsidRPr="004831AB">
        <w:rPr>
          <w:rFonts w:ascii="Times New Roman" w:hAnsi="Times New Roman" w:cs="Times New Roman"/>
          <w:sz w:val="24"/>
          <w:szCs w:val="24"/>
          <w:lang w:val="sr-Cyrl-CS"/>
        </w:rPr>
        <w:t>В Л А Д А</w:t>
      </w:r>
    </w:p>
    <w:p w14:paraId="559DFBE0" w14:textId="13D053B2"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0C3834AE" w14:textId="77777777" w:rsidR="00903680" w:rsidRPr="004831AB" w:rsidRDefault="00903680" w:rsidP="006D4838">
      <w:pPr>
        <w:spacing w:after="0" w:line="240" w:lineRule="auto"/>
        <w:ind w:firstLine="720"/>
        <w:jc w:val="both"/>
        <w:rPr>
          <w:rFonts w:ascii="Times New Roman" w:hAnsi="Times New Roman" w:cs="Times New Roman"/>
          <w:sz w:val="24"/>
          <w:szCs w:val="24"/>
          <w:lang w:val="sr-Cyrl-CS"/>
        </w:rPr>
      </w:pPr>
    </w:p>
    <w:p w14:paraId="3A2793F4" w14:textId="77777777"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48787A56" w14:textId="093BC7AE" w:rsidR="006D4838" w:rsidRPr="004831AB" w:rsidRDefault="006D4838" w:rsidP="006D4838">
      <w:pPr>
        <w:spacing w:after="0" w:line="240" w:lineRule="auto"/>
        <w:ind w:firstLine="720"/>
        <w:jc w:val="right"/>
        <w:rPr>
          <w:rFonts w:ascii="Times New Roman" w:hAnsi="Times New Roman" w:cs="Times New Roman"/>
          <w:sz w:val="24"/>
          <w:szCs w:val="24"/>
          <w:lang w:val="sr-Cyrl-CS"/>
        </w:rPr>
      </w:pPr>
      <w:r w:rsidRPr="004831AB">
        <w:rPr>
          <w:rFonts w:ascii="Times New Roman" w:hAnsi="Times New Roman" w:cs="Times New Roman"/>
          <w:sz w:val="24"/>
          <w:szCs w:val="24"/>
          <w:lang w:val="sr-Cyrl-CS"/>
        </w:rPr>
        <w:t>ПРВИ ПОТПРЕДСЕДНИК ВЛАДЕ</w:t>
      </w:r>
    </w:p>
    <w:p w14:paraId="55680865" w14:textId="629B045C" w:rsidR="006D4838" w:rsidRPr="004831AB" w:rsidRDefault="006D4838" w:rsidP="006D4838">
      <w:pPr>
        <w:spacing w:after="0" w:line="240" w:lineRule="auto"/>
        <w:ind w:firstLine="720"/>
        <w:jc w:val="both"/>
        <w:rPr>
          <w:rFonts w:ascii="Times New Roman" w:hAnsi="Times New Roman" w:cs="Times New Roman"/>
          <w:sz w:val="24"/>
          <w:szCs w:val="24"/>
          <w:lang w:val="sr-Cyrl-CS"/>
        </w:rPr>
      </w:pPr>
    </w:p>
    <w:p w14:paraId="70031EAD" w14:textId="0CF2CB23" w:rsidR="006D4838" w:rsidRPr="004831AB" w:rsidRDefault="006D4838" w:rsidP="006D4838">
      <w:pPr>
        <w:spacing w:after="0" w:line="240" w:lineRule="auto"/>
        <w:ind w:left="5040" w:firstLine="720"/>
        <w:jc w:val="center"/>
        <w:rPr>
          <w:rFonts w:ascii="Times New Roman" w:hAnsi="Times New Roman" w:cs="Times New Roman"/>
          <w:sz w:val="24"/>
          <w:szCs w:val="24"/>
          <w:lang w:val="sr-Cyrl-CS"/>
        </w:rPr>
      </w:pPr>
      <w:r w:rsidRPr="004831AB">
        <w:rPr>
          <w:rFonts w:ascii="Times New Roman" w:hAnsi="Times New Roman" w:cs="Times New Roman"/>
          <w:sz w:val="24"/>
          <w:szCs w:val="24"/>
          <w:lang w:val="sr-Cyrl-CS"/>
        </w:rPr>
        <w:t>Ивица Дачић</w:t>
      </w:r>
      <w:r w:rsidR="00D277B7">
        <w:rPr>
          <w:rFonts w:ascii="Times New Roman" w:hAnsi="Times New Roman" w:cs="Times New Roman"/>
          <w:sz w:val="24"/>
          <w:szCs w:val="24"/>
          <w:lang w:val="sr-Cyrl-CS"/>
        </w:rPr>
        <w:t>, с.р.</w:t>
      </w:r>
    </w:p>
    <w:p w14:paraId="38AB6045" w14:textId="77777777" w:rsidR="00410016" w:rsidRPr="004831AB" w:rsidRDefault="00410016" w:rsidP="006D4838">
      <w:pPr>
        <w:spacing w:after="0" w:line="240" w:lineRule="auto"/>
        <w:ind w:left="5040" w:firstLine="720"/>
        <w:jc w:val="center"/>
        <w:rPr>
          <w:rFonts w:ascii="Times New Roman" w:hAnsi="Times New Roman" w:cs="Times New Roman"/>
          <w:sz w:val="24"/>
          <w:szCs w:val="24"/>
          <w:lang w:val="sr-Cyrl-CS"/>
        </w:rPr>
      </w:pPr>
    </w:p>
    <w:p w14:paraId="64A3B084" w14:textId="77777777" w:rsidR="00410016" w:rsidRPr="004831AB" w:rsidRDefault="00410016" w:rsidP="00410016">
      <w:pPr>
        <w:pStyle w:val="Heading1"/>
        <w:numPr>
          <w:ilvl w:val="0"/>
          <w:numId w:val="0"/>
        </w:numPr>
        <w:jc w:val="center"/>
        <w:rPr>
          <w:b w:val="0"/>
          <w:bCs/>
          <w:sz w:val="24"/>
          <w:szCs w:val="24"/>
          <w:lang w:val="sr-Cyrl-CS"/>
        </w:rPr>
      </w:pPr>
    </w:p>
    <w:p w14:paraId="301587A8" w14:textId="77777777" w:rsidR="00410016" w:rsidRPr="004831AB" w:rsidRDefault="00410016" w:rsidP="00410016">
      <w:pPr>
        <w:rPr>
          <w:lang w:val="sr-Cyrl-CS"/>
        </w:rPr>
      </w:pPr>
    </w:p>
    <w:p w14:paraId="7BF5C3DC" w14:textId="77777777" w:rsidR="00410016" w:rsidRPr="004831AB" w:rsidRDefault="00410016" w:rsidP="00410016">
      <w:pPr>
        <w:rPr>
          <w:lang w:val="sr-Cyrl-CS"/>
        </w:rPr>
      </w:pPr>
    </w:p>
    <w:p w14:paraId="1064E63C" w14:textId="77777777" w:rsidR="00410016" w:rsidRPr="004831AB" w:rsidRDefault="00410016" w:rsidP="00410016">
      <w:pPr>
        <w:rPr>
          <w:lang w:val="sr-Cyrl-CS"/>
        </w:rPr>
      </w:pPr>
    </w:p>
    <w:p w14:paraId="207EDB07" w14:textId="77777777" w:rsidR="00410016" w:rsidRPr="004831AB" w:rsidRDefault="00410016" w:rsidP="00410016">
      <w:pPr>
        <w:rPr>
          <w:lang w:val="sr-Cyrl-CS"/>
        </w:rPr>
      </w:pPr>
    </w:p>
    <w:p w14:paraId="0C2289FB" w14:textId="77777777" w:rsidR="00410016" w:rsidRPr="004831AB" w:rsidRDefault="00410016" w:rsidP="00410016">
      <w:pPr>
        <w:rPr>
          <w:lang w:val="sr-Cyrl-CS"/>
        </w:rPr>
      </w:pPr>
    </w:p>
    <w:p w14:paraId="315EE844" w14:textId="77777777" w:rsidR="00410016" w:rsidRPr="004831AB" w:rsidRDefault="00410016" w:rsidP="00410016">
      <w:pPr>
        <w:rPr>
          <w:lang w:val="sr-Cyrl-CS"/>
        </w:rPr>
      </w:pPr>
    </w:p>
    <w:p w14:paraId="49B75C74" w14:textId="77777777" w:rsidR="00410016" w:rsidRPr="004831AB" w:rsidRDefault="00410016" w:rsidP="00410016">
      <w:pPr>
        <w:rPr>
          <w:lang w:val="sr-Cyrl-CS"/>
        </w:rPr>
      </w:pPr>
    </w:p>
    <w:p w14:paraId="56EFAD0D" w14:textId="77777777" w:rsidR="00410016" w:rsidRPr="004831AB" w:rsidRDefault="00410016" w:rsidP="00410016">
      <w:pPr>
        <w:rPr>
          <w:lang w:val="sr-Cyrl-CS"/>
        </w:rPr>
      </w:pPr>
    </w:p>
    <w:p w14:paraId="6BBA9F93" w14:textId="77777777" w:rsidR="00410016" w:rsidRPr="004831AB" w:rsidRDefault="00410016" w:rsidP="00410016">
      <w:pPr>
        <w:rPr>
          <w:lang w:val="sr-Cyrl-CS"/>
        </w:rPr>
      </w:pPr>
    </w:p>
    <w:p w14:paraId="2533AC44" w14:textId="77777777" w:rsidR="00410016" w:rsidRPr="004831AB" w:rsidRDefault="00410016" w:rsidP="00410016">
      <w:pPr>
        <w:rPr>
          <w:lang w:val="sr-Cyrl-CS"/>
        </w:rPr>
      </w:pPr>
    </w:p>
    <w:p w14:paraId="2F2A7141" w14:textId="7CC51D77" w:rsidR="00EC77AB" w:rsidRDefault="00EC77AB" w:rsidP="00410016">
      <w:pPr>
        <w:pStyle w:val="Heading1"/>
        <w:numPr>
          <w:ilvl w:val="0"/>
          <w:numId w:val="0"/>
        </w:numPr>
        <w:jc w:val="center"/>
        <w:rPr>
          <w:b w:val="0"/>
          <w:bCs/>
          <w:sz w:val="24"/>
          <w:szCs w:val="24"/>
          <w:lang w:val="sr-Cyrl-CS"/>
        </w:rPr>
      </w:pPr>
      <w:r w:rsidRPr="004831AB">
        <w:rPr>
          <w:b w:val="0"/>
          <w:bCs/>
          <w:sz w:val="24"/>
          <w:szCs w:val="24"/>
          <w:lang w:val="sr-Cyrl-CS"/>
        </w:rPr>
        <w:lastRenderedPageBreak/>
        <w:t xml:space="preserve">                                                                                                                                ПРИЛОГ</w:t>
      </w:r>
      <w:r w:rsidR="003E4512" w:rsidRPr="004831AB">
        <w:rPr>
          <w:b w:val="0"/>
          <w:bCs/>
          <w:sz w:val="24"/>
          <w:szCs w:val="24"/>
          <w:lang w:val="sr-Cyrl-CS"/>
        </w:rPr>
        <w:t xml:space="preserve"> 1.</w:t>
      </w:r>
    </w:p>
    <w:p w14:paraId="510DAA1D" w14:textId="08DBBB56" w:rsidR="00410016" w:rsidRDefault="00410016" w:rsidP="00410016">
      <w:pPr>
        <w:pStyle w:val="Heading1"/>
        <w:numPr>
          <w:ilvl w:val="0"/>
          <w:numId w:val="0"/>
        </w:numPr>
        <w:jc w:val="center"/>
        <w:rPr>
          <w:b w:val="0"/>
          <w:bCs/>
          <w:sz w:val="24"/>
          <w:szCs w:val="24"/>
          <w:lang w:val="sr-Cyrl-CS"/>
        </w:rPr>
      </w:pPr>
      <w:r w:rsidRPr="004831AB">
        <w:rPr>
          <w:b w:val="0"/>
          <w:bCs/>
          <w:sz w:val="24"/>
          <w:szCs w:val="24"/>
          <w:lang w:val="sr-Cyrl-CS"/>
        </w:rPr>
        <w:t>Листа скраћеница</w:t>
      </w:r>
    </w:p>
    <w:tbl>
      <w:tblPr>
        <w:tblStyle w:val="TableGrid"/>
        <w:tblW w:w="9653" w:type="dxa"/>
        <w:tblLook w:val="04A0" w:firstRow="1" w:lastRow="0" w:firstColumn="1" w:lastColumn="0" w:noHBand="0" w:noVBand="1"/>
      </w:tblPr>
      <w:tblGrid>
        <w:gridCol w:w="2405"/>
        <w:gridCol w:w="7248"/>
      </w:tblGrid>
      <w:tr w:rsidR="00410016" w:rsidRPr="004831AB" w14:paraId="040B5A24" w14:textId="77777777" w:rsidTr="00B41099">
        <w:tc>
          <w:tcPr>
            <w:tcW w:w="2405" w:type="dxa"/>
          </w:tcPr>
          <w:p w14:paraId="14440BC1" w14:textId="77777777" w:rsidR="00410016" w:rsidRPr="004831AB" w:rsidRDefault="00410016" w:rsidP="00B41099">
            <w:pPr>
              <w:tabs>
                <w:tab w:val="right" w:pos="2189"/>
              </w:tabs>
              <w:rPr>
                <w:rFonts w:ascii="Times New Roman" w:hAnsi="Times New Roman" w:cs="Times New Roman"/>
                <w:sz w:val="24"/>
                <w:szCs w:val="24"/>
                <w:lang w:val="sr-Cyrl-CS"/>
              </w:rPr>
            </w:pPr>
            <w:r w:rsidRPr="004831AB">
              <w:rPr>
                <w:rFonts w:ascii="Times New Roman" w:hAnsi="Times New Roman" w:cs="Times New Roman"/>
                <w:sz w:val="24"/>
                <w:szCs w:val="24"/>
                <w:lang w:val="sr-Cyrl-CS"/>
              </w:rPr>
              <w:t>Агенда 2030</w:t>
            </w:r>
            <w:r w:rsidRPr="004831AB">
              <w:rPr>
                <w:rFonts w:ascii="Times New Roman" w:hAnsi="Times New Roman" w:cs="Times New Roman"/>
                <w:sz w:val="24"/>
                <w:szCs w:val="24"/>
                <w:lang w:val="sr-Cyrl-CS"/>
              </w:rPr>
              <w:tab/>
            </w:r>
          </w:p>
        </w:tc>
        <w:tc>
          <w:tcPr>
            <w:tcW w:w="7248" w:type="dxa"/>
          </w:tcPr>
          <w:p w14:paraId="1183B033"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Агенда Уједињених нација за одрживи развој од 2015. до 2030. године</w:t>
            </w:r>
          </w:p>
        </w:tc>
      </w:tr>
      <w:tr w:rsidR="00410016" w:rsidRPr="004831AB" w14:paraId="3D9D3CB1" w14:textId="77777777" w:rsidTr="00B41099">
        <w:tc>
          <w:tcPr>
            <w:tcW w:w="2405" w:type="dxa"/>
          </w:tcPr>
          <w:p w14:paraId="428DC0BD" w14:textId="77777777" w:rsidR="00410016" w:rsidRPr="004831AB" w:rsidRDefault="00410016" w:rsidP="00B41099">
            <w:pPr>
              <w:tabs>
                <w:tab w:val="right" w:pos="2189"/>
              </w:tabs>
              <w:rPr>
                <w:rFonts w:ascii="Times New Roman" w:hAnsi="Times New Roman" w:cs="Times New Roman"/>
                <w:sz w:val="24"/>
                <w:szCs w:val="24"/>
                <w:lang w:val="sr-Cyrl-CS"/>
              </w:rPr>
            </w:pPr>
            <w:r w:rsidRPr="004831AB">
              <w:rPr>
                <w:rFonts w:ascii="Times New Roman" w:hAnsi="Times New Roman" w:cs="Times New Roman"/>
                <w:sz w:val="24"/>
                <w:szCs w:val="24"/>
                <w:lang w:val="sr-Cyrl-CS"/>
              </w:rPr>
              <w:t>Aкциони план</w:t>
            </w:r>
          </w:p>
        </w:tc>
        <w:tc>
          <w:tcPr>
            <w:tcW w:w="7248" w:type="dxa"/>
          </w:tcPr>
          <w:p w14:paraId="5327EC33" w14:textId="67902A22"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Акциони план за период 2023-2024. године</w:t>
            </w:r>
          </w:p>
        </w:tc>
      </w:tr>
      <w:tr w:rsidR="00410016" w:rsidRPr="004831AB" w14:paraId="499085B9" w14:textId="77777777" w:rsidTr="00B41099">
        <w:tc>
          <w:tcPr>
            <w:tcW w:w="2405" w:type="dxa"/>
          </w:tcPr>
          <w:p w14:paraId="542E15CF"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АОФИ</w:t>
            </w:r>
          </w:p>
        </w:tc>
        <w:tc>
          <w:tcPr>
            <w:tcW w:w="7248" w:type="dxa"/>
          </w:tcPr>
          <w:p w14:paraId="0707994B" w14:textId="4C0A3038"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Агенција за осигурање и финансирање извоза</w:t>
            </w:r>
            <w:r w:rsidR="00BC448F" w:rsidRPr="004831AB">
              <w:rPr>
                <w:rFonts w:ascii="Times New Roman" w:hAnsi="Times New Roman" w:cs="Times New Roman"/>
                <w:bCs/>
                <w:sz w:val="24"/>
                <w:szCs w:val="24"/>
                <w:lang w:val="sr-Cyrl-CS"/>
              </w:rPr>
              <w:t xml:space="preserve"> Републике Србије</w:t>
            </w:r>
          </w:p>
        </w:tc>
      </w:tr>
      <w:tr w:rsidR="00410016" w:rsidRPr="004831AB" w14:paraId="11F36037" w14:textId="77777777" w:rsidTr="00B41099">
        <w:tc>
          <w:tcPr>
            <w:tcW w:w="2405" w:type="dxa"/>
          </w:tcPr>
          <w:p w14:paraId="4866DBE1"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АРРА</w:t>
            </w:r>
          </w:p>
        </w:tc>
        <w:tc>
          <w:tcPr>
            <w:tcW w:w="7248" w:type="dxa"/>
          </w:tcPr>
          <w:p w14:paraId="2D0E2021"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Акредитована регионална развојна агенција</w:t>
            </w:r>
          </w:p>
        </w:tc>
      </w:tr>
      <w:tr w:rsidR="00410016" w:rsidRPr="004831AB" w14:paraId="2CB36750" w14:textId="77777777" w:rsidTr="00B41099">
        <w:tc>
          <w:tcPr>
            <w:tcW w:w="2405" w:type="dxa"/>
          </w:tcPr>
          <w:p w14:paraId="40BEE9B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БДВ</w:t>
            </w:r>
          </w:p>
        </w:tc>
        <w:tc>
          <w:tcPr>
            <w:tcW w:w="7248" w:type="dxa"/>
          </w:tcPr>
          <w:p w14:paraId="77199D45"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Бруто домаћа вредност</w:t>
            </w:r>
          </w:p>
        </w:tc>
      </w:tr>
      <w:tr w:rsidR="00410016" w:rsidRPr="004831AB" w14:paraId="120EE1E7" w14:textId="77777777" w:rsidTr="00B41099">
        <w:tc>
          <w:tcPr>
            <w:tcW w:w="2405" w:type="dxa"/>
          </w:tcPr>
          <w:p w14:paraId="798F3CA7"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БДП</w:t>
            </w:r>
          </w:p>
        </w:tc>
        <w:tc>
          <w:tcPr>
            <w:tcW w:w="7248" w:type="dxa"/>
          </w:tcPr>
          <w:p w14:paraId="0716D5A5"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Бруто домаћи производ</w:t>
            </w:r>
          </w:p>
        </w:tc>
      </w:tr>
      <w:tr w:rsidR="00410016" w:rsidRPr="004831AB" w14:paraId="416D5069" w14:textId="77777777" w:rsidTr="00B41099">
        <w:tc>
          <w:tcPr>
            <w:tcW w:w="2405" w:type="dxa"/>
          </w:tcPr>
          <w:p w14:paraId="5FFD0EEB"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ГИЗ</w:t>
            </w:r>
          </w:p>
        </w:tc>
        <w:tc>
          <w:tcPr>
            <w:tcW w:w="7248" w:type="dxa"/>
          </w:tcPr>
          <w:p w14:paraId="0A322976"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Немачка организација за међународну сарадњу</w:t>
            </w:r>
          </w:p>
        </w:tc>
      </w:tr>
      <w:tr w:rsidR="00410016" w:rsidRPr="004831AB" w14:paraId="79A648DA" w14:textId="77777777" w:rsidTr="00B41099">
        <w:tc>
          <w:tcPr>
            <w:tcW w:w="2405" w:type="dxa"/>
          </w:tcPr>
          <w:p w14:paraId="19B29CFF"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ДРИ</w:t>
            </w:r>
          </w:p>
        </w:tc>
        <w:tc>
          <w:tcPr>
            <w:tcW w:w="7248" w:type="dxa"/>
          </w:tcPr>
          <w:p w14:paraId="743D95B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Државна ревизорска институција</w:t>
            </w:r>
          </w:p>
        </w:tc>
      </w:tr>
      <w:tr w:rsidR="00410016" w:rsidRPr="004831AB" w14:paraId="25469C5E" w14:textId="77777777" w:rsidTr="00B41099">
        <w:tc>
          <w:tcPr>
            <w:tcW w:w="2405" w:type="dxa"/>
          </w:tcPr>
          <w:p w14:paraId="7B45C143"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ЕБРД</w:t>
            </w:r>
          </w:p>
        </w:tc>
        <w:tc>
          <w:tcPr>
            <w:tcW w:w="7248" w:type="dxa"/>
          </w:tcPr>
          <w:p w14:paraId="3E14211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Европска банка за обнову и развој</w:t>
            </w:r>
          </w:p>
        </w:tc>
      </w:tr>
      <w:tr w:rsidR="00410016" w:rsidRPr="004831AB" w14:paraId="72D57AA5" w14:textId="77777777" w:rsidTr="00B41099">
        <w:tc>
          <w:tcPr>
            <w:tcW w:w="2405" w:type="dxa"/>
          </w:tcPr>
          <w:p w14:paraId="20E9854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ЕГД</w:t>
            </w:r>
          </w:p>
        </w:tc>
        <w:tc>
          <w:tcPr>
            <w:tcW w:w="7248" w:type="dxa"/>
          </w:tcPr>
          <w:p w14:paraId="39AB11C5"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Европски зелени договор</w:t>
            </w:r>
          </w:p>
        </w:tc>
      </w:tr>
      <w:tr w:rsidR="00410016" w:rsidRPr="004831AB" w14:paraId="761ED972" w14:textId="77777777" w:rsidTr="00B41099">
        <w:tc>
          <w:tcPr>
            <w:tcW w:w="2405" w:type="dxa"/>
          </w:tcPr>
          <w:p w14:paraId="02CF021B"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ЕК</w:t>
            </w:r>
          </w:p>
        </w:tc>
        <w:tc>
          <w:tcPr>
            <w:tcW w:w="7248" w:type="dxa"/>
          </w:tcPr>
          <w:p w14:paraId="5A908A84"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Европска комисија</w:t>
            </w:r>
          </w:p>
        </w:tc>
      </w:tr>
      <w:tr w:rsidR="00410016" w:rsidRPr="004831AB" w14:paraId="09ABED58" w14:textId="77777777" w:rsidTr="00B41099">
        <w:tc>
          <w:tcPr>
            <w:tcW w:w="2405" w:type="dxa"/>
          </w:tcPr>
          <w:p w14:paraId="1888E60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ЕРП</w:t>
            </w:r>
          </w:p>
        </w:tc>
        <w:tc>
          <w:tcPr>
            <w:tcW w:w="7248" w:type="dxa"/>
          </w:tcPr>
          <w:p w14:paraId="56EE291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Програм економских реформи</w:t>
            </w:r>
          </w:p>
        </w:tc>
      </w:tr>
      <w:tr w:rsidR="00410016" w:rsidRPr="004831AB" w14:paraId="02B0EEBA" w14:textId="77777777" w:rsidTr="00B41099">
        <w:tc>
          <w:tcPr>
            <w:tcW w:w="2405" w:type="dxa"/>
          </w:tcPr>
          <w:p w14:paraId="23BCF81A"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ЕТФ</w:t>
            </w:r>
          </w:p>
        </w:tc>
        <w:tc>
          <w:tcPr>
            <w:tcW w:w="7248" w:type="dxa"/>
          </w:tcPr>
          <w:p w14:paraId="2386BA97"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Европска тренинг фондација</w:t>
            </w:r>
          </w:p>
        </w:tc>
      </w:tr>
      <w:tr w:rsidR="00410016" w:rsidRPr="004831AB" w14:paraId="5D0650F9" w14:textId="77777777" w:rsidTr="00B41099">
        <w:tc>
          <w:tcPr>
            <w:tcW w:w="2405" w:type="dxa"/>
          </w:tcPr>
          <w:p w14:paraId="58C30E11"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ЕУ</w:t>
            </w:r>
          </w:p>
        </w:tc>
        <w:tc>
          <w:tcPr>
            <w:tcW w:w="7248" w:type="dxa"/>
          </w:tcPr>
          <w:p w14:paraId="4DFF7A5E" w14:textId="3CA8A945"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 xml:space="preserve">Европска </w:t>
            </w:r>
            <w:r w:rsidR="006E73A1" w:rsidRPr="004831AB">
              <w:rPr>
                <w:rFonts w:ascii="Times New Roman" w:hAnsi="Times New Roman" w:cs="Times New Roman"/>
                <w:bCs/>
                <w:sz w:val="24"/>
                <w:szCs w:val="24"/>
                <w:lang w:val="sr-Cyrl-CS"/>
              </w:rPr>
              <w:t>у</w:t>
            </w:r>
            <w:r w:rsidRPr="004831AB">
              <w:rPr>
                <w:rFonts w:ascii="Times New Roman" w:hAnsi="Times New Roman" w:cs="Times New Roman"/>
                <w:bCs/>
                <w:sz w:val="24"/>
                <w:szCs w:val="24"/>
                <w:lang w:val="sr-Cyrl-CS"/>
              </w:rPr>
              <w:t>нија</w:t>
            </w:r>
          </w:p>
        </w:tc>
      </w:tr>
      <w:tr w:rsidR="00410016" w:rsidRPr="004831AB" w14:paraId="5DFFD618" w14:textId="77777777" w:rsidTr="00B41099">
        <w:tc>
          <w:tcPr>
            <w:tcW w:w="2405" w:type="dxa"/>
          </w:tcPr>
          <w:p w14:paraId="565D3EB7" w14:textId="4E23161F"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ЕУ Стратегија МСП</w:t>
            </w:r>
          </w:p>
        </w:tc>
        <w:tc>
          <w:tcPr>
            <w:tcW w:w="7248" w:type="dxa"/>
          </w:tcPr>
          <w:p w14:paraId="523BDFA6" w14:textId="045BBB0A"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Стратегија МСП за одрживу и дигиталну Европу</w:t>
            </w:r>
          </w:p>
        </w:tc>
      </w:tr>
      <w:tr w:rsidR="00410016" w:rsidRPr="004831AB" w14:paraId="63B428D8" w14:textId="77777777" w:rsidTr="00B41099">
        <w:tc>
          <w:tcPr>
            <w:tcW w:w="2405" w:type="dxa"/>
          </w:tcPr>
          <w:p w14:paraId="3AC53B0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ИКТ</w:t>
            </w:r>
          </w:p>
        </w:tc>
        <w:tc>
          <w:tcPr>
            <w:tcW w:w="7248" w:type="dxa"/>
          </w:tcPr>
          <w:p w14:paraId="3B771D84"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Информационо-комуникационе технологије</w:t>
            </w:r>
          </w:p>
        </w:tc>
      </w:tr>
      <w:tr w:rsidR="00410016" w:rsidRPr="004831AB" w14:paraId="7DB1844A" w14:textId="77777777" w:rsidTr="00B41099">
        <w:tc>
          <w:tcPr>
            <w:tcW w:w="2405" w:type="dxa"/>
          </w:tcPr>
          <w:p w14:paraId="118FC2C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ИПА</w:t>
            </w:r>
          </w:p>
        </w:tc>
        <w:tc>
          <w:tcPr>
            <w:tcW w:w="7248" w:type="dxa"/>
          </w:tcPr>
          <w:p w14:paraId="5330441A"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Инструмент за претприступну помоћ</w:t>
            </w:r>
          </w:p>
        </w:tc>
      </w:tr>
      <w:tr w:rsidR="00410016" w:rsidRPr="004831AB" w14:paraId="4A8E81ED" w14:textId="77777777" w:rsidTr="00B41099">
        <w:tc>
          <w:tcPr>
            <w:tcW w:w="2405" w:type="dxa"/>
          </w:tcPr>
          <w:p w14:paraId="1E2D0BD6"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ЈЛС</w:t>
            </w:r>
          </w:p>
        </w:tc>
        <w:tc>
          <w:tcPr>
            <w:tcW w:w="7248" w:type="dxa"/>
          </w:tcPr>
          <w:p w14:paraId="412BDB72" w14:textId="77777777" w:rsidR="00410016" w:rsidRPr="004831AB" w:rsidRDefault="00410016" w:rsidP="00B41099">
            <w:pPr>
              <w:jc w:val="both"/>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Јединица локалне самоуправе</w:t>
            </w:r>
          </w:p>
        </w:tc>
      </w:tr>
      <w:tr w:rsidR="00410016" w:rsidRPr="004831AB" w14:paraId="5AC6D4CE" w14:textId="77777777" w:rsidTr="00B41099">
        <w:tc>
          <w:tcPr>
            <w:tcW w:w="2405" w:type="dxa"/>
          </w:tcPr>
          <w:p w14:paraId="581B2EF2"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ЈПД</w:t>
            </w:r>
          </w:p>
        </w:tc>
        <w:tc>
          <w:tcPr>
            <w:tcW w:w="7248" w:type="dxa"/>
          </w:tcPr>
          <w:p w14:paraId="25E4EF8E"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Јавно-приватни дијалог</w:t>
            </w:r>
          </w:p>
        </w:tc>
      </w:tr>
      <w:tr w:rsidR="00410016" w:rsidRPr="004831AB" w14:paraId="2D0FF42A" w14:textId="77777777" w:rsidTr="00B41099">
        <w:tc>
          <w:tcPr>
            <w:tcW w:w="2405" w:type="dxa"/>
          </w:tcPr>
          <w:p w14:paraId="18DEC1D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КФВ</w:t>
            </w:r>
          </w:p>
        </w:tc>
        <w:tc>
          <w:tcPr>
            <w:tcW w:w="7248" w:type="dxa"/>
          </w:tcPr>
          <w:p w14:paraId="34BF619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КФВ Развојна банка</w:t>
            </w:r>
          </w:p>
        </w:tc>
      </w:tr>
      <w:tr w:rsidR="00410016" w:rsidRPr="004831AB" w14:paraId="2445B5B6" w14:textId="77777777" w:rsidTr="00B41099">
        <w:tc>
          <w:tcPr>
            <w:tcW w:w="2405" w:type="dxa"/>
          </w:tcPr>
          <w:p w14:paraId="5816B0F8"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МСП</w:t>
            </w:r>
          </w:p>
        </w:tc>
        <w:tc>
          <w:tcPr>
            <w:tcW w:w="7248" w:type="dxa"/>
          </w:tcPr>
          <w:p w14:paraId="798FFF65"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Мала и средња предузећа</w:t>
            </w:r>
          </w:p>
        </w:tc>
      </w:tr>
      <w:tr w:rsidR="00410016" w:rsidRPr="004831AB" w14:paraId="0BC6BF2B" w14:textId="77777777" w:rsidTr="00B41099">
        <w:tc>
          <w:tcPr>
            <w:tcW w:w="2405" w:type="dxa"/>
          </w:tcPr>
          <w:p w14:paraId="2158CFE0"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МСПП</w:t>
            </w:r>
          </w:p>
        </w:tc>
        <w:tc>
          <w:tcPr>
            <w:tcW w:w="7248" w:type="dxa"/>
          </w:tcPr>
          <w:p w14:paraId="672B8629"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Мала и средња предузећа и предузетници</w:t>
            </w:r>
          </w:p>
        </w:tc>
      </w:tr>
      <w:tr w:rsidR="007E752E" w:rsidRPr="004831AB" w14:paraId="2EBE5C48" w14:textId="77777777" w:rsidTr="00B41099">
        <w:tc>
          <w:tcPr>
            <w:tcW w:w="2405" w:type="dxa"/>
          </w:tcPr>
          <w:p w14:paraId="12000AD3" w14:textId="53B15A16" w:rsidR="007E752E" w:rsidRPr="004831AB" w:rsidRDefault="007E752E"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ММСП тест </w:t>
            </w:r>
          </w:p>
        </w:tc>
        <w:tc>
          <w:tcPr>
            <w:tcW w:w="7248" w:type="dxa"/>
          </w:tcPr>
          <w:p w14:paraId="26ABFAB9" w14:textId="55D9ED1C" w:rsidR="007E752E" w:rsidRPr="004831AB" w:rsidRDefault="007E752E"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Тест утицаја на микро, мале и средње привредне субјекте</w:t>
            </w:r>
          </w:p>
        </w:tc>
      </w:tr>
      <w:tr w:rsidR="00410016" w:rsidRPr="004831AB" w14:paraId="224A8D28" w14:textId="77777777" w:rsidTr="00B41099">
        <w:tc>
          <w:tcPr>
            <w:tcW w:w="2405" w:type="dxa"/>
          </w:tcPr>
          <w:p w14:paraId="62A09A27"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НБС</w:t>
            </w:r>
          </w:p>
        </w:tc>
        <w:tc>
          <w:tcPr>
            <w:tcW w:w="7248" w:type="dxa"/>
          </w:tcPr>
          <w:p w14:paraId="4646B996"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Народна банка Србије</w:t>
            </w:r>
          </w:p>
        </w:tc>
      </w:tr>
      <w:tr w:rsidR="00410016" w:rsidRPr="004831AB" w14:paraId="122F4C9B" w14:textId="77777777" w:rsidTr="00B41099">
        <w:tc>
          <w:tcPr>
            <w:tcW w:w="2405" w:type="dxa"/>
          </w:tcPr>
          <w:p w14:paraId="2115ECF5"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НИО</w:t>
            </w:r>
          </w:p>
        </w:tc>
        <w:tc>
          <w:tcPr>
            <w:tcW w:w="7248" w:type="dxa"/>
          </w:tcPr>
          <w:p w14:paraId="61303A0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Научно-истраживачка организација</w:t>
            </w:r>
          </w:p>
        </w:tc>
      </w:tr>
      <w:tr w:rsidR="00410016" w:rsidRPr="004831AB" w14:paraId="2EFAC96D" w14:textId="77777777" w:rsidTr="00B41099">
        <w:tc>
          <w:tcPr>
            <w:tcW w:w="2405" w:type="dxa"/>
          </w:tcPr>
          <w:p w14:paraId="3B9A87E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ОЕЦД</w:t>
            </w:r>
          </w:p>
        </w:tc>
        <w:tc>
          <w:tcPr>
            <w:tcW w:w="7248" w:type="dxa"/>
          </w:tcPr>
          <w:p w14:paraId="325CD8ED"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Организација за економску сарадњу и развој</w:t>
            </w:r>
          </w:p>
        </w:tc>
      </w:tr>
      <w:tr w:rsidR="00410016" w:rsidRPr="004831AB" w14:paraId="263E976D" w14:textId="77777777" w:rsidTr="00B41099">
        <w:tc>
          <w:tcPr>
            <w:tcW w:w="2405" w:type="dxa"/>
          </w:tcPr>
          <w:p w14:paraId="660E1F74"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ПКС</w:t>
            </w:r>
          </w:p>
        </w:tc>
        <w:tc>
          <w:tcPr>
            <w:tcW w:w="7248" w:type="dxa"/>
          </w:tcPr>
          <w:p w14:paraId="46D9A292"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Привредна комора Србије</w:t>
            </w:r>
          </w:p>
        </w:tc>
      </w:tr>
      <w:tr w:rsidR="00410016" w:rsidRPr="004831AB" w14:paraId="2B4B92E4" w14:textId="77777777" w:rsidTr="00B41099">
        <w:tc>
          <w:tcPr>
            <w:tcW w:w="2405" w:type="dxa"/>
          </w:tcPr>
          <w:p w14:paraId="4A440903"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РАС</w:t>
            </w:r>
          </w:p>
        </w:tc>
        <w:tc>
          <w:tcPr>
            <w:tcW w:w="7248" w:type="dxa"/>
          </w:tcPr>
          <w:p w14:paraId="2F1A9ED1"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Развојна агенција Србије</w:t>
            </w:r>
          </w:p>
        </w:tc>
      </w:tr>
      <w:tr w:rsidR="00410016" w:rsidRPr="004831AB" w14:paraId="3E8CE778" w14:textId="77777777" w:rsidTr="00B41099">
        <w:tc>
          <w:tcPr>
            <w:tcW w:w="2405" w:type="dxa"/>
          </w:tcPr>
          <w:p w14:paraId="0D4EFBF0"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РЗС</w:t>
            </w:r>
          </w:p>
        </w:tc>
        <w:tc>
          <w:tcPr>
            <w:tcW w:w="7248" w:type="dxa"/>
          </w:tcPr>
          <w:p w14:paraId="2A23E820" w14:textId="77777777" w:rsidR="00410016" w:rsidRPr="004831AB" w:rsidRDefault="00410016" w:rsidP="00B41099">
            <w:pPr>
              <w:jc w:val="both"/>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Републички завод за статистику</w:t>
            </w:r>
          </w:p>
        </w:tc>
      </w:tr>
      <w:tr w:rsidR="00410016" w:rsidRPr="004831AB" w14:paraId="6DAEC6B3" w14:textId="77777777" w:rsidTr="00B41099">
        <w:tc>
          <w:tcPr>
            <w:tcW w:w="2405" w:type="dxa"/>
          </w:tcPr>
          <w:p w14:paraId="3E98CA40"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СБА</w:t>
            </w:r>
          </w:p>
        </w:tc>
        <w:tc>
          <w:tcPr>
            <w:tcW w:w="7248" w:type="dxa"/>
          </w:tcPr>
          <w:p w14:paraId="0693C30F"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Акт о малим предузећима</w:t>
            </w:r>
          </w:p>
        </w:tc>
      </w:tr>
      <w:tr w:rsidR="00410016" w:rsidRPr="004831AB" w14:paraId="04E0BC62" w14:textId="77777777" w:rsidTr="00B41099">
        <w:tc>
          <w:tcPr>
            <w:tcW w:w="2405" w:type="dxa"/>
          </w:tcPr>
          <w:p w14:paraId="6509C054"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СДИ</w:t>
            </w:r>
          </w:p>
        </w:tc>
        <w:tc>
          <w:tcPr>
            <w:tcW w:w="7248" w:type="dxa"/>
          </w:tcPr>
          <w:p w14:paraId="422447BC" w14:textId="77777777" w:rsidR="00410016" w:rsidRPr="004831AB" w:rsidRDefault="00410016" w:rsidP="00B41099">
            <w:pPr>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Стране директне инвестиције</w:t>
            </w:r>
          </w:p>
        </w:tc>
      </w:tr>
      <w:tr w:rsidR="00410016" w:rsidRPr="004831AB" w14:paraId="2D6EF9E1" w14:textId="77777777" w:rsidTr="00B41099">
        <w:tc>
          <w:tcPr>
            <w:tcW w:w="2405" w:type="dxa"/>
          </w:tcPr>
          <w:p w14:paraId="61DB180F"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Стратегија</w:t>
            </w:r>
          </w:p>
        </w:tc>
        <w:tc>
          <w:tcPr>
            <w:tcW w:w="7248" w:type="dxa"/>
          </w:tcPr>
          <w:p w14:paraId="2D36E153" w14:textId="506A43EE" w:rsidR="00410016" w:rsidRPr="004831AB" w:rsidRDefault="005B679E"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 xml:space="preserve">Стратегија за развој малих и средњих предузећа за период </w:t>
            </w:r>
            <w:r w:rsidR="001E7C6C" w:rsidRPr="004831AB">
              <w:rPr>
                <w:rFonts w:ascii="Times New Roman" w:hAnsi="Times New Roman" w:cs="Times New Roman"/>
                <w:sz w:val="24"/>
                <w:szCs w:val="24"/>
                <w:lang w:val="sr-Cyrl-CS"/>
              </w:rPr>
              <w:t xml:space="preserve"> од 2023. до</w:t>
            </w:r>
            <w:r w:rsidRPr="004831AB">
              <w:rPr>
                <w:rFonts w:ascii="Times New Roman" w:hAnsi="Times New Roman" w:cs="Times New Roman"/>
                <w:sz w:val="24"/>
                <w:szCs w:val="24"/>
                <w:lang w:val="sr-Cyrl-CS"/>
              </w:rPr>
              <w:t xml:space="preserve"> 2027. године са Акционим планом за период </w:t>
            </w:r>
            <w:r w:rsidR="001E7C6C" w:rsidRPr="004831AB">
              <w:rPr>
                <w:rFonts w:ascii="Times New Roman" w:hAnsi="Times New Roman" w:cs="Times New Roman"/>
                <w:sz w:val="24"/>
                <w:szCs w:val="24"/>
                <w:lang w:val="sr-Cyrl-CS"/>
              </w:rPr>
              <w:t>од 2023</w:t>
            </w:r>
            <w:r w:rsidR="007E752E" w:rsidRPr="004831AB">
              <w:rPr>
                <w:rFonts w:ascii="Times New Roman" w:hAnsi="Times New Roman" w:cs="Times New Roman"/>
                <w:sz w:val="24"/>
                <w:szCs w:val="24"/>
                <w:lang w:val="sr-Cyrl-CS"/>
              </w:rPr>
              <w:t>.</w:t>
            </w:r>
            <w:r w:rsidR="001E7C6C" w:rsidRPr="004831AB">
              <w:rPr>
                <w:rFonts w:ascii="Times New Roman" w:hAnsi="Times New Roman" w:cs="Times New Roman"/>
                <w:sz w:val="24"/>
                <w:szCs w:val="24"/>
                <w:lang w:val="sr-Cyrl-CS"/>
              </w:rPr>
              <w:t xml:space="preserve"> до </w:t>
            </w:r>
            <w:r w:rsidRPr="004831AB">
              <w:rPr>
                <w:rFonts w:ascii="Times New Roman" w:hAnsi="Times New Roman" w:cs="Times New Roman"/>
                <w:sz w:val="24"/>
                <w:szCs w:val="24"/>
                <w:lang w:val="sr-Cyrl-CS"/>
              </w:rPr>
              <w:t>2024. године</w:t>
            </w:r>
          </w:p>
        </w:tc>
      </w:tr>
      <w:tr w:rsidR="00410016" w:rsidRPr="004831AB" w14:paraId="60FDFB13" w14:textId="77777777" w:rsidTr="00B41099">
        <w:tc>
          <w:tcPr>
            <w:tcW w:w="2405" w:type="dxa"/>
          </w:tcPr>
          <w:p w14:paraId="15750695"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Стратегија МСПП</w:t>
            </w:r>
          </w:p>
        </w:tc>
        <w:tc>
          <w:tcPr>
            <w:tcW w:w="7248" w:type="dxa"/>
          </w:tcPr>
          <w:p w14:paraId="458A2D70" w14:textId="77777777" w:rsidR="00410016" w:rsidRPr="004831AB" w:rsidRDefault="00410016" w:rsidP="00B41099">
            <w:pPr>
              <w:jc w:val="both"/>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Стратегија за подршку развоја малих и средњих предузећа, предузетништва и конкурентности за период од 2015. до 2020. године</w:t>
            </w:r>
          </w:p>
        </w:tc>
      </w:tr>
      <w:tr w:rsidR="00410016" w:rsidRPr="004831AB" w14:paraId="381FBC05" w14:textId="77777777" w:rsidTr="00B41099">
        <w:tc>
          <w:tcPr>
            <w:tcW w:w="2405" w:type="dxa"/>
          </w:tcPr>
          <w:p w14:paraId="0A95FC7F"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УНДП</w:t>
            </w:r>
          </w:p>
        </w:tc>
        <w:tc>
          <w:tcPr>
            <w:tcW w:w="7248" w:type="dxa"/>
          </w:tcPr>
          <w:p w14:paraId="37043987"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Програм Уједињених нација за развој</w:t>
            </w:r>
          </w:p>
        </w:tc>
      </w:tr>
      <w:tr w:rsidR="00410016" w:rsidRPr="004831AB" w14:paraId="5FA4C780" w14:textId="77777777" w:rsidTr="00B41099">
        <w:tc>
          <w:tcPr>
            <w:tcW w:w="2405" w:type="dxa"/>
          </w:tcPr>
          <w:p w14:paraId="347CECB3" w14:textId="3716F245"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Ф</w:t>
            </w:r>
            <w:r w:rsidR="001E1903" w:rsidRPr="004831AB">
              <w:rPr>
                <w:rFonts w:ascii="Times New Roman" w:hAnsi="Times New Roman" w:cs="Times New Roman"/>
                <w:sz w:val="24"/>
                <w:szCs w:val="24"/>
                <w:lang w:val="sr-Cyrl-CS"/>
              </w:rPr>
              <w:t>З</w:t>
            </w:r>
            <w:r w:rsidRPr="004831AB">
              <w:rPr>
                <w:rFonts w:ascii="Times New Roman" w:hAnsi="Times New Roman" w:cs="Times New Roman"/>
                <w:sz w:val="24"/>
                <w:szCs w:val="24"/>
                <w:lang w:val="sr-Cyrl-CS"/>
              </w:rPr>
              <w:t>Р</w:t>
            </w:r>
          </w:p>
        </w:tc>
        <w:tc>
          <w:tcPr>
            <w:tcW w:w="7248" w:type="dxa"/>
          </w:tcPr>
          <w:p w14:paraId="3791638C" w14:textId="70472A00"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Фонд за развој</w:t>
            </w:r>
            <w:r w:rsidR="001E1903">
              <w:rPr>
                <w:rFonts w:ascii="Times New Roman" w:hAnsi="Times New Roman" w:cs="Times New Roman"/>
                <w:bCs/>
                <w:sz w:val="24"/>
                <w:szCs w:val="24"/>
                <w:lang w:val="sr-Cyrl-CS"/>
              </w:rPr>
              <w:t xml:space="preserve"> Републике Србије</w:t>
            </w:r>
          </w:p>
        </w:tc>
      </w:tr>
      <w:tr w:rsidR="00410016" w:rsidRPr="004831AB" w14:paraId="036082BF" w14:textId="77777777" w:rsidTr="00B41099">
        <w:tc>
          <w:tcPr>
            <w:tcW w:w="2405" w:type="dxa"/>
          </w:tcPr>
          <w:p w14:paraId="4F866AF1"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ЦДТ</w:t>
            </w:r>
          </w:p>
        </w:tc>
        <w:tc>
          <w:tcPr>
            <w:tcW w:w="7248" w:type="dxa"/>
          </w:tcPr>
          <w:p w14:paraId="72C1798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Центар за дигиталну трансформацију ПКС</w:t>
            </w:r>
          </w:p>
        </w:tc>
      </w:tr>
      <w:tr w:rsidR="00410016" w:rsidRPr="004831AB" w14:paraId="73E15413" w14:textId="77777777" w:rsidTr="00B41099">
        <w:tc>
          <w:tcPr>
            <w:tcW w:w="2405" w:type="dxa"/>
          </w:tcPr>
          <w:p w14:paraId="2884842C"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lastRenderedPageBreak/>
              <w:t>ЦЕФТА</w:t>
            </w:r>
          </w:p>
        </w:tc>
        <w:tc>
          <w:tcPr>
            <w:tcW w:w="7248" w:type="dxa"/>
          </w:tcPr>
          <w:p w14:paraId="7ECF5AF5"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bCs/>
                <w:sz w:val="24"/>
                <w:szCs w:val="24"/>
                <w:lang w:val="sr-Cyrl-CS"/>
              </w:rPr>
              <w:t>Централноевропски уговор о слободној трговини</w:t>
            </w:r>
          </w:p>
        </w:tc>
      </w:tr>
      <w:tr w:rsidR="00410016" w:rsidRPr="004831AB" w14:paraId="32ADA238" w14:textId="77777777" w:rsidTr="00B41099">
        <w:tc>
          <w:tcPr>
            <w:tcW w:w="2405" w:type="dxa"/>
          </w:tcPr>
          <w:p w14:paraId="26634C79" w14:textId="77777777" w:rsidR="00410016" w:rsidRPr="004831AB" w:rsidRDefault="00410016" w:rsidP="00B41099">
            <w:pPr>
              <w:rPr>
                <w:rFonts w:ascii="Times New Roman" w:hAnsi="Times New Roman" w:cs="Times New Roman"/>
                <w:sz w:val="24"/>
                <w:szCs w:val="24"/>
                <w:lang w:val="sr-Cyrl-CS"/>
              </w:rPr>
            </w:pPr>
            <w:r w:rsidRPr="004831AB">
              <w:rPr>
                <w:rFonts w:ascii="Times New Roman" w:hAnsi="Times New Roman" w:cs="Times New Roman"/>
                <w:sz w:val="24"/>
                <w:szCs w:val="24"/>
                <w:lang w:val="sr-Cyrl-CS"/>
              </w:rPr>
              <w:t>ЦОР</w:t>
            </w:r>
          </w:p>
        </w:tc>
        <w:tc>
          <w:tcPr>
            <w:tcW w:w="7248" w:type="dxa"/>
          </w:tcPr>
          <w:p w14:paraId="4A798344" w14:textId="77777777" w:rsidR="00410016" w:rsidRPr="004831AB" w:rsidRDefault="00410016" w:rsidP="00B41099">
            <w:pPr>
              <w:jc w:val="both"/>
              <w:rPr>
                <w:rFonts w:ascii="Times New Roman" w:hAnsi="Times New Roman" w:cs="Times New Roman"/>
                <w:bCs/>
                <w:sz w:val="24"/>
                <w:szCs w:val="24"/>
                <w:lang w:val="sr-Cyrl-CS"/>
              </w:rPr>
            </w:pPr>
            <w:r w:rsidRPr="004831AB">
              <w:rPr>
                <w:rFonts w:ascii="Times New Roman" w:hAnsi="Times New Roman" w:cs="Times New Roman"/>
                <w:bCs/>
                <w:sz w:val="24"/>
                <w:szCs w:val="24"/>
                <w:lang w:val="sr-Cyrl-CS"/>
              </w:rPr>
              <w:t>Циљеви одрживог развоја</w:t>
            </w:r>
          </w:p>
        </w:tc>
      </w:tr>
    </w:tbl>
    <w:p w14:paraId="4A350201" w14:textId="77777777" w:rsidR="00410016" w:rsidRPr="004831AB" w:rsidRDefault="00410016" w:rsidP="00410016">
      <w:pPr>
        <w:rPr>
          <w:rFonts w:ascii="Times New Roman" w:hAnsi="Times New Roman" w:cs="Times New Roman"/>
          <w:sz w:val="24"/>
          <w:szCs w:val="24"/>
          <w:lang w:val="sr-Cyrl-CS"/>
        </w:rPr>
      </w:pPr>
    </w:p>
    <w:sectPr w:rsidR="00410016" w:rsidRPr="004831AB" w:rsidSect="009740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2113" w14:textId="77777777" w:rsidR="0099244C" w:rsidRDefault="0099244C" w:rsidP="00FB525A">
      <w:pPr>
        <w:spacing w:after="0" w:line="240" w:lineRule="auto"/>
      </w:pPr>
      <w:r>
        <w:separator/>
      </w:r>
    </w:p>
  </w:endnote>
  <w:endnote w:type="continuationSeparator" w:id="0">
    <w:p w14:paraId="79DE6CB2" w14:textId="77777777" w:rsidR="0099244C" w:rsidRDefault="0099244C" w:rsidP="00F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5436"/>
      <w:docPartObj>
        <w:docPartGallery w:val="Page Numbers (Bottom of Page)"/>
        <w:docPartUnique/>
      </w:docPartObj>
    </w:sdtPr>
    <w:sdtEndPr>
      <w:rPr>
        <w:noProof/>
      </w:rPr>
    </w:sdtEndPr>
    <w:sdtContent>
      <w:p w14:paraId="09140FDF" w14:textId="07AA6B06" w:rsidR="00FF3B8A" w:rsidRDefault="00FF3B8A">
        <w:pPr>
          <w:pStyle w:val="Footer"/>
          <w:jc w:val="center"/>
        </w:pPr>
        <w:r>
          <w:fldChar w:fldCharType="begin"/>
        </w:r>
        <w:r>
          <w:instrText xml:space="preserve"> PAGE   \* MERGEFORMAT </w:instrText>
        </w:r>
        <w:r>
          <w:fldChar w:fldCharType="separate"/>
        </w:r>
        <w:r w:rsidR="00923182">
          <w:rPr>
            <w:noProof/>
          </w:rPr>
          <w:t>50</w:t>
        </w:r>
        <w:r>
          <w:rPr>
            <w:noProof/>
          </w:rPr>
          <w:fldChar w:fldCharType="end"/>
        </w:r>
      </w:p>
    </w:sdtContent>
  </w:sdt>
  <w:p w14:paraId="33BAFB2A" w14:textId="77777777" w:rsidR="00FF3B8A" w:rsidRDefault="00FF3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12D1" w14:textId="02B3689E" w:rsidR="00FF3B8A" w:rsidRDefault="00FF3B8A">
    <w:pPr>
      <w:pStyle w:val="Footer"/>
      <w:jc w:val="center"/>
    </w:pPr>
  </w:p>
  <w:p w14:paraId="6C091002" w14:textId="77777777" w:rsidR="00FF3B8A" w:rsidRDefault="00FF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095B" w14:textId="77777777" w:rsidR="0099244C" w:rsidRDefault="0099244C" w:rsidP="00FB525A">
      <w:pPr>
        <w:spacing w:after="0" w:line="240" w:lineRule="auto"/>
      </w:pPr>
      <w:r>
        <w:separator/>
      </w:r>
    </w:p>
  </w:footnote>
  <w:footnote w:type="continuationSeparator" w:id="0">
    <w:p w14:paraId="143C9D1F" w14:textId="77777777" w:rsidR="0099244C" w:rsidRDefault="0099244C" w:rsidP="00FB525A">
      <w:pPr>
        <w:spacing w:after="0" w:line="240" w:lineRule="auto"/>
      </w:pPr>
      <w:r>
        <w:continuationSeparator/>
      </w:r>
    </w:p>
  </w:footnote>
  <w:footnote w:id="1">
    <w:p w14:paraId="5CC5269C" w14:textId="464E8ECD" w:rsidR="00FF3B8A" w:rsidRPr="00237903" w:rsidRDefault="00FF3B8A">
      <w:pPr>
        <w:pStyle w:val="FootnoteText"/>
        <w:rPr>
          <w:sz w:val="16"/>
          <w:szCs w:val="16"/>
          <w:lang w:val="sr-Cyrl-RS"/>
        </w:rPr>
      </w:pPr>
      <w:r w:rsidRPr="00237903">
        <w:rPr>
          <w:rStyle w:val="FootnoteReference"/>
          <w:sz w:val="16"/>
          <w:szCs w:val="16"/>
        </w:rPr>
        <w:footnoteRef/>
      </w:r>
      <w:r w:rsidRPr="00237903">
        <w:rPr>
          <w:sz w:val="16"/>
          <w:szCs w:val="16"/>
        </w:rPr>
        <w:t xml:space="preserve"> </w:t>
      </w:r>
      <w:r w:rsidRPr="00D7585B">
        <w:rPr>
          <w:rFonts w:ascii="Times New Roman" w:hAnsi="Times New Roman" w:cs="Times New Roman"/>
          <w:sz w:val="16"/>
          <w:szCs w:val="16"/>
          <w:lang w:val="sr-Cyrl-RS"/>
        </w:rPr>
        <w:t>,,Службени гласник РС”</w:t>
      </w:r>
      <w:r w:rsidRPr="00237903">
        <w:rPr>
          <w:rFonts w:ascii="Times New Roman" w:hAnsi="Times New Roman" w:cs="Times New Roman"/>
          <w:sz w:val="16"/>
          <w:szCs w:val="16"/>
          <w:lang w:val="sr-Cyrl-RS"/>
        </w:rPr>
        <w:t>, бр</w:t>
      </w:r>
      <w:r>
        <w:rPr>
          <w:rFonts w:ascii="Times New Roman" w:hAnsi="Times New Roman" w:cs="Times New Roman"/>
          <w:sz w:val="16"/>
          <w:szCs w:val="16"/>
          <w:lang w:val="sr-Cyrl-RS"/>
        </w:rPr>
        <w:t>. 44/21, 129/</w:t>
      </w:r>
      <w:r w:rsidRPr="00237903">
        <w:rPr>
          <w:rFonts w:ascii="Times New Roman" w:hAnsi="Times New Roman" w:cs="Times New Roman"/>
          <w:sz w:val="16"/>
          <w:szCs w:val="16"/>
          <w:lang w:val="sr-Cyrl-RS"/>
        </w:rPr>
        <w:t>21</w:t>
      </w:r>
      <w:r>
        <w:rPr>
          <w:rFonts w:ascii="Times New Roman" w:hAnsi="Times New Roman" w:cs="Times New Roman"/>
          <w:sz w:val="16"/>
          <w:szCs w:val="16"/>
          <w:lang w:val="sr-Cyrl-RS"/>
        </w:rPr>
        <w:t xml:space="preserve"> и 138/22</w:t>
      </w:r>
    </w:p>
  </w:footnote>
  <w:footnote w:id="2">
    <w:p w14:paraId="12670AE9" w14:textId="250486E4" w:rsidR="00FF3B8A" w:rsidRPr="006F4763" w:rsidRDefault="00FF3B8A">
      <w:pPr>
        <w:pStyle w:val="FootnoteText"/>
        <w:rPr>
          <w:sz w:val="16"/>
          <w:szCs w:val="16"/>
          <w:lang w:val="sr-Cyrl-RS"/>
        </w:rPr>
      </w:pPr>
      <w:r w:rsidRPr="00237903">
        <w:rPr>
          <w:rStyle w:val="FootnoteReference"/>
          <w:sz w:val="16"/>
          <w:szCs w:val="16"/>
        </w:rPr>
        <w:footnoteRef/>
      </w:r>
      <w:r w:rsidRPr="00237903">
        <w:rPr>
          <w:sz w:val="16"/>
          <w:szCs w:val="16"/>
        </w:rPr>
        <w:t xml:space="preserve"> </w:t>
      </w:r>
      <w:r w:rsidRPr="00D7585B">
        <w:rPr>
          <w:rFonts w:ascii="Times New Roman" w:hAnsi="Times New Roman" w:cs="Times New Roman"/>
          <w:sz w:val="16"/>
          <w:szCs w:val="16"/>
          <w:lang w:val="sr-Cyrl-RS"/>
        </w:rPr>
        <w:t>,,Службени гласник РС”</w:t>
      </w:r>
      <w:r w:rsidRPr="00237903">
        <w:rPr>
          <w:rFonts w:ascii="Times New Roman" w:hAnsi="Times New Roman" w:cs="Times New Roman"/>
          <w:sz w:val="16"/>
          <w:szCs w:val="16"/>
          <w:lang w:val="sr-Cyrl-RS"/>
        </w:rPr>
        <w:t>, бр</w:t>
      </w:r>
      <w:r>
        <w:rPr>
          <w:rFonts w:ascii="Times New Roman" w:hAnsi="Times New Roman" w:cs="Times New Roman"/>
          <w:sz w:val="16"/>
          <w:szCs w:val="16"/>
          <w:lang w:val="sr-Cyrl-RS"/>
        </w:rPr>
        <w:t>. 153/</w:t>
      </w:r>
      <w:r w:rsidRPr="00237903">
        <w:rPr>
          <w:rFonts w:ascii="Times New Roman" w:hAnsi="Times New Roman" w:cs="Times New Roman"/>
          <w:sz w:val="16"/>
          <w:szCs w:val="16"/>
          <w:lang w:val="sr-Cyrl-RS"/>
        </w:rPr>
        <w:t>20</w:t>
      </w:r>
      <w:r>
        <w:rPr>
          <w:rFonts w:ascii="Times New Roman" w:hAnsi="Times New Roman" w:cs="Times New Roman"/>
          <w:sz w:val="16"/>
          <w:szCs w:val="16"/>
          <w:lang w:val="sr-Cyrl-RS"/>
        </w:rPr>
        <w:t>,</w:t>
      </w:r>
      <w:r w:rsidRPr="00237903">
        <w:rPr>
          <w:rFonts w:ascii="Times New Roman" w:hAnsi="Times New Roman" w:cs="Times New Roman"/>
          <w:sz w:val="16"/>
          <w:szCs w:val="16"/>
          <w:lang w:val="sr-Cyrl-RS"/>
        </w:rPr>
        <w:t xml:space="preserve"> </w:t>
      </w:r>
      <w:r>
        <w:rPr>
          <w:rFonts w:ascii="Times New Roman" w:hAnsi="Times New Roman" w:cs="Times New Roman"/>
          <w:sz w:val="16"/>
          <w:szCs w:val="16"/>
          <w:lang w:val="sr-Cyrl-RS"/>
        </w:rPr>
        <w:t>96/</w:t>
      </w:r>
      <w:r w:rsidRPr="00237903">
        <w:rPr>
          <w:rFonts w:ascii="Times New Roman" w:hAnsi="Times New Roman" w:cs="Times New Roman"/>
          <w:sz w:val="16"/>
          <w:szCs w:val="16"/>
          <w:lang w:val="sr-Cyrl-RS"/>
        </w:rPr>
        <w:t>21</w:t>
      </w:r>
      <w:r w:rsidRPr="006F4763">
        <w:rPr>
          <w:rFonts w:ascii="Times New Roman" w:hAnsi="Times New Roman" w:cs="Times New Roman"/>
          <w:sz w:val="16"/>
          <w:szCs w:val="16"/>
          <w:lang w:val="sr-Cyrl-RS"/>
        </w:rPr>
        <w:t xml:space="preserve"> </w:t>
      </w:r>
      <w:r w:rsidRPr="00237903">
        <w:rPr>
          <w:rFonts w:ascii="Times New Roman" w:hAnsi="Times New Roman" w:cs="Times New Roman"/>
          <w:sz w:val="16"/>
          <w:szCs w:val="16"/>
          <w:lang w:val="sr-Cyrl-RS"/>
        </w:rPr>
        <w:t>и</w:t>
      </w:r>
      <w:r>
        <w:rPr>
          <w:rFonts w:ascii="Times New Roman" w:hAnsi="Times New Roman" w:cs="Times New Roman"/>
          <w:sz w:val="16"/>
          <w:szCs w:val="16"/>
          <w:lang w:val="sr-Cyrl-RS"/>
        </w:rPr>
        <w:t xml:space="preserve"> 138/22</w:t>
      </w:r>
    </w:p>
  </w:footnote>
  <w:footnote w:id="3">
    <w:p w14:paraId="161A5720" w14:textId="17906D3D" w:rsidR="00FF3B8A" w:rsidRPr="00092B69" w:rsidRDefault="00FF3B8A" w:rsidP="00C60BC0">
      <w:pPr>
        <w:pStyle w:val="FootnoteText"/>
        <w:rPr>
          <w:sz w:val="18"/>
          <w:szCs w:val="18"/>
        </w:rPr>
      </w:pPr>
      <w:r w:rsidRPr="00092B69">
        <w:rPr>
          <w:rStyle w:val="FootnoteReference"/>
          <w:sz w:val="18"/>
          <w:szCs w:val="18"/>
        </w:rPr>
        <w:footnoteRef/>
      </w:r>
      <w:r w:rsidRPr="00092B69">
        <w:rPr>
          <w:sz w:val="18"/>
          <w:szCs w:val="18"/>
        </w:rPr>
        <w:t xml:space="preserve"> </w:t>
      </w:r>
      <w:r w:rsidRPr="00D7585B">
        <w:rPr>
          <w:rFonts w:ascii="Times New Roman" w:hAnsi="Times New Roman" w:cs="Times New Roman"/>
          <w:sz w:val="18"/>
          <w:szCs w:val="18"/>
          <w:lang w:val="sr-Cyrl-RS"/>
        </w:rPr>
        <w:t>,,Службени гласник РС”</w:t>
      </w:r>
      <w:r>
        <w:rPr>
          <w:rFonts w:ascii="Times New Roman" w:hAnsi="Times New Roman" w:cs="Times New Roman"/>
          <w:sz w:val="18"/>
          <w:szCs w:val="18"/>
          <w:lang w:val="sr-Cyrl-RS"/>
        </w:rPr>
        <w:t>, бр. 119/12, 68/15, 113/17, 91/19, 44/21, 44/</w:t>
      </w:r>
      <w:r w:rsidRPr="00092B69">
        <w:rPr>
          <w:rFonts w:ascii="Times New Roman" w:hAnsi="Times New Roman" w:cs="Times New Roman"/>
          <w:sz w:val="18"/>
          <w:szCs w:val="18"/>
          <w:lang w:val="sr-Cyrl-RS"/>
        </w:rPr>
        <w:t>21 - др. закон</w:t>
      </w:r>
      <w:r>
        <w:rPr>
          <w:rFonts w:ascii="Times New Roman" w:hAnsi="Times New Roman" w:cs="Times New Roman"/>
          <w:sz w:val="18"/>
          <w:szCs w:val="18"/>
          <w:lang w:val="sr-Cyrl-RS"/>
        </w:rPr>
        <w:t>,130/21 и 138/22</w:t>
      </w:r>
    </w:p>
  </w:footnote>
  <w:footnote w:id="4">
    <w:p w14:paraId="0B8D2F3C" w14:textId="3CB18D6B" w:rsidR="00FF3B8A" w:rsidRPr="00237903" w:rsidRDefault="00FF3B8A">
      <w:pPr>
        <w:pStyle w:val="FootnoteText"/>
        <w:rPr>
          <w:sz w:val="16"/>
          <w:szCs w:val="16"/>
        </w:rPr>
      </w:pPr>
      <w:r w:rsidRPr="00237903">
        <w:rPr>
          <w:rStyle w:val="FootnoteReference"/>
          <w:sz w:val="16"/>
          <w:szCs w:val="16"/>
        </w:rPr>
        <w:footnoteRef/>
      </w:r>
      <w:r w:rsidRPr="00237903">
        <w:rPr>
          <w:sz w:val="16"/>
          <w:szCs w:val="16"/>
        </w:rPr>
        <w:t xml:space="preserve"> </w:t>
      </w:r>
      <w:r>
        <w:rPr>
          <w:rFonts w:ascii="Times New Roman" w:hAnsi="Times New Roman" w:cs="Times New Roman"/>
          <w:sz w:val="16"/>
          <w:szCs w:val="16"/>
          <w:lang w:val="sr-Cyrl-RS"/>
        </w:rPr>
        <w:t>„Службени лист СРЈ", бр. 3/02 и 5/</w:t>
      </w:r>
      <w:r w:rsidRPr="00237903">
        <w:rPr>
          <w:rFonts w:ascii="Times New Roman" w:hAnsi="Times New Roman" w:cs="Times New Roman"/>
          <w:sz w:val="16"/>
          <w:szCs w:val="16"/>
          <w:lang w:val="sr-Cyrl-RS"/>
        </w:rPr>
        <w:t xml:space="preserve">03 и </w:t>
      </w:r>
      <w:r w:rsidRPr="00D7585B">
        <w:rPr>
          <w:rFonts w:ascii="Times New Roman" w:hAnsi="Times New Roman" w:cs="Times New Roman"/>
          <w:sz w:val="16"/>
          <w:szCs w:val="16"/>
          <w:lang w:val="sr-Cyrl-RS"/>
        </w:rPr>
        <w:t>,,Службени гласник РС”</w:t>
      </w:r>
      <w:r>
        <w:rPr>
          <w:rFonts w:ascii="Times New Roman" w:hAnsi="Times New Roman" w:cs="Times New Roman"/>
          <w:sz w:val="16"/>
          <w:szCs w:val="16"/>
          <w:lang w:val="sr-Cyrl-RS"/>
        </w:rPr>
        <w:t>, бр. 43/04, 62/06, 111/09 - др. закон, 31/11 и 139/</w:t>
      </w:r>
      <w:r w:rsidRPr="00237903">
        <w:rPr>
          <w:rFonts w:ascii="Times New Roman" w:hAnsi="Times New Roman" w:cs="Times New Roman"/>
          <w:sz w:val="16"/>
          <w:szCs w:val="16"/>
          <w:lang w:val="sr-Cyrl-RS"/>
        </w:rPr>
        <w:t>14 - др. закон</w:t>
      </w:r>
    </w:p>
  </w:footnote>
  <w:footnote w:id="5">
    <w:p w14:paraId="4259C4A6" w14:textId="505032E5" w:rsidR="00FF3B8A" w:rsidRPr="00237903" w:rsidRDefault="00FF3B8A">
      <w:pPr>
        <w:pStyle w:val="FootnoteText"/>
        <w:rPr>
          <w:sz w:val="16"/>
          <w:szCs w:val="16"/>
        </w:rPr>
      </w:pPr>
      <w:r w:rsidRPr="00237903">
        <w:rPr>
          <w:rStyle w:val="FootnoteReference"/>
          <w:sz w:val="16"/>
          <w:szCs w:val="16"/>
        </w:rPr>
        <w:footnoteRef/>
      </w:r>
      <w:r w:rsidRPr="00237903">
        <w:rPr>
          <w:sz w:val="16"/>
          <w:szCs w:val="16"/>
        </w:rPr>
        <w:t xml:space="preserve"> </w:t>
      </w:r>
      <w:r w:rsidRPr="00D7585B">
        <w:rPr>
          <w:rFonts w:ascii="Times New Roman" w:hAnsi="Times New Roman" w:cs="Times New Roman"/>
          <w:sz w:val="16"/>
          <w:szCs w:val="16"/>
          <w:lang w:val="sr-Cyrl-RS"/>
        </w:rPr>
        <w:t>,,Службени гласник РС”</w:t>
      </w:r>
      <w:r>
        <w:rPr>
          <w:rFonts w:ascii="Times New Roman" w:hAnsi="Times New Roman" w:cs="Times New Roman"/>
          <w:sz w:val="16"/>
          <w:szCs w:val="16"/>
          <w:lang w:val="sr-Cyrl-RS"/>
        </w:rPr>
        <w:t>, бр. 62/06, 31/11, 119/12, 139/14 и 30/</w:t>
      </w:r>
      <w:r w:rsidRPr="00237903">
        <w:rPr>
          <w:rFonts w:ascii="Times New Roman" w:hAnsi="Times New Roman" w:cs="Times New Roman"/>
          <w:sz w:val="16"/>
          <w:szCs w:val="16"/>
          <w:lang w:val="sr-Cyrl-RS"/>
        </w:rPr>
        <w:t>18</w:t>
      </w:r>
    </w:p>
  </w:footnote>
  <w:footnote w:id="6">
    <w:p w14:paraId="08D9E275" w14:textId="64F13426" w:rsidR="00FF3B8A" w:rsidRPr="00A478B3" w:rsidRDefault="00FF3B8A">
      <w:pPr>
        <w:pStyle w:val="FootnoteText"/>
        <w:rPr>
          <w:sz w:val="18"/>
          <w:szCs w:val="18"/>
        </w:rPr>
      </w:pPr>
      <w:r w:rsidRPr="00237903">
        <w:rPr>
          <w:rStyle w:val="FootnoteReference"/>
          <w:sz w:val="16"/>
          <w:szCs w:val="16"/>
        </w:rPr>
        <w:footnoteRef/>
      </w:r>
      <w:r w:rsidRPr="00237903">
        <w:rPr>
          <w:sz w:val="16"/>
          <w:szCs w:val="16"/>
        </w:rPr>
        <w:t xml:space="preserve"> </w:t>
      </w:r>
      <w:r w:rsidRPr="00D7585B">
        <w:rPr>
          <w:rFonts w:ascii="Times New Roman" w:hAnsi="Times New Roman" w:cs="Times New Roman"/>
          <w:sz w:val="16"/>
          <w:szCs w:val="16"/>
          <w:lang w:val="sr-Cyrl-RS"/>
        </w:rPr>
        <w:t>,,Службени гласник РС”</w:t>
      </w:r>
      <w:r w:rsidRPr="00237903">
        <w:rPr>
          <w:rFonts w:ascii="Times New Roman" w:hAnsi="Times New Roman" w:cs="Times New Roman"/>
          <w:sz w:val="16"/>
          <w:szCs w:val="16"/>
          <w:lang w:val="sr-Cyrl-RS"/>
        </w:rPr>
        <w:t>, бр.</w:t>
      </w:r>
      <w:r>
        <w:rPr>
          <w:rFonts w:ascii="Times New Roman" w:hAnsi="Times New Roman" w:cs="Times New Roman"/>
          <w:sz w:val="16"/>
          <w:szCs w:val="16"/>
          <w:lang w:val="sr-Cyrl-RS"/>
        </w:rPr>
        <w:t xml:space="preserve"> 25/01, 80/02, 80/02 - др. закон, 43/03, 84/04, 18/10, 101/11, 119/12, 47/13, 108/13, 68/14 - др. закон, 142/14, 91/15 - аутентично тумачење, 112/15, 113/17, 95/18, 86/19, 153/20 и 118/</w:t>
      </w:r>
      <w:r w:rsidRPr="00237903">
        <w:rPr>
          <w:rFonts w:ascii="Times New Roman" w:hAnsi="Times New Roman" w:cs="Times New Roman"/>
          <w:sz w:val="16"/>
          <w:szCs w:val="16"/>
          <w:lang w:val="sr-Cyrl-RS"/>
        </w:rPr>
        <w:t>21</w:t>
      </w:r>
    </w:p>
  </w:footnote>
  <w:footnote w:id="7">
    <w:p w14:paraId="29D1674A" w14:textId="35287D68" w:rsidR="00FF3B8A" w:rsidRPr="006B0D5C" w:rsidRDefault="00FF3B8A">
      <w:pPr>
        <w:pStyle w:val="FootnoteText"/>
        <w:rPr>
          <w:rFonts w:ascii="Times New Roman" w:hAnsi="Times New Roman" w:cs="Times New Roman"/>
          <w:sz w:val="16"/>
          <w:szCs w:val="16"/>
        </w:rPr>
      </w:pPr>
      <w:r w:rsidRPr="00A478B3">
        <w:rPr>
          <w:rStyle w:val="FootnoteReference"/>
          <w:sz w:val="18"/>
          <w:szCs w:val="18"/>
        </w:rPr>
        <w:footnoteRef/>
      </w:r>
      <w:r w:rsidRPr="00A478B3">
        <w:rPr>
          <w:sz w:val="18"/>
          <w:szCs w:val="18"/>
        </w:rPr>
        <w:t xml:space="preserve"> </w:t>
      </w:r>
      <w:r w:rsidRPr="00D7585B">
        <w:rPr>
          <w:rFonts w:ascii="Times New Roman" w:hAnsi="Times New Roman" w:cs="Times New Roman"/>
          <w:sz w:val="18"/>
          <w:szCs w:val="18"/>
          <w:lang w:val="sr-Cyrl-RS"/>
        </w:rPr>
        <w:t>(,</w:t>
      </w:r>
      <w:r w:rsidRPr="006B0D5C">
        <w:rPr>
          <w:rFonts w:ascii="Times New Roman" w:hAnsi="Times New Roman" w:cs="Times New Roman"/>
          <w:sz w:val="18"/>
          <w:szCs w:val="18"/>
          <w:lang w:val="sr-Cyrl-RS"/>
        </w:rPr>
        <w:t>,Службени гласник РС</w:t>
      </w:r>
      <w:r w:rsidRPr="006B0D5C">
        <w:rPr>
          <w:rFonts w:ascii="Times New Roman" w:hAnsi="Times New Roman" w:cs="Times New Roman"/>
          <w:sz w:val="16"/>
          <w:szCs w:val="16"/>
          <w:lang w:val="sr-Cyrl-RS"/>
        </w:rPr>
        <w:t xml:space="preserve">”, бр. </w:t>
      </w:r>
      <w:hyperlink r:id="rId1" w:tooltip="Zakon o porezu na dodatu vrednost (24/07/2004)" w:history="1">
        <w:r w:rsidRPr="006B0D5C">
          <w:rPr>
            <w:rFonts w:ascii="Times New Roman" w:hAnsi="Times New Roman" w:cs="Times New Roman"/>
            <w:sz w:val="16"/>
            <w:szCs w:val="16"/>
            <w:lang w:val="en-US"/>
          </w:rPr>
          <w:t>84/04</w:t>
        </w:r>
      </w:hyperlink>
      <w:r w:rsidRPr="006B0D5C">
        <w:rPr>
          <w:rFonts w:ascii="Times New Roman" w:hAnsi="Times New Roman" w:cs="Times New Roman"/>
          <w:sz w:val="16"/>
          <w:szCs w:val="16"/>
          <w:lang w:val="en-US"/>
        </w:rPr>
        <w:t xml:space="preserve">, </w:t>
      </w:r>
      <w:hyperlink r:id="rId2" w:tooltip="Ispravka Zakona o porezu na dodatu vrednost (30/07/2004)" w:history="1">
        <w:r w:rsidRPr="006B0D5C">
          <w:rPr>
            <w:rFonts w:ascii="Times New Roman" w:hAnsi="Times New Roman" w:cs="Times New Roman"/>
            <w:sz w:val="16"/>
            <w:szCs w:val="16"/>
            <w:lang w:val="en-US"/>
          </w:rPr>
          <w:t>86/04</w:t>
        </w:r>
      </w:hyperlink>
      <w:r w:rsidRPr="006B0D5C">
        <w:rPr>
          <w:rFonts w:ascii="Times New Roman" w:hAnsi="Times New Roman" w:cs="Times New Roman"/>
          <w:sz w:val="16"/>
          <w:szCs w:val="16"/>
          <w:lang w:val="en-US"/>
        </w:rPr>
        <w:t xml:space="preserve"> - </w:t>
      </w:r>
      <w:r w:rsidRPr="006B0D5C">
        <w:rPr>
          <w:rFonts w:ascii="Times New Roman" w:hAnsi="Times New Roman" w:cs="Times New Roman"/>
          <w:sz w:val="16"/>
          <w:szCs w:val="16"/>
          <w:lang w:val="sr-Cyrl-RS"/>
        </w:rPr>
        <w:t>исправка</w:t>
      </w:r>
      <w:r w:rsidRPr="006B0D5C">
        <w:rPr>
          <w:rFonts w:ascii="Times New Roman" w:hAnsi="Times New Roman" w:cs="Times New Roman"/>
          <w:sz w:val="16"/>
          <w:szCs w:val="16"/>
          <w:lang w:val="en-US"/>
        </w:rPr>
        <w:t xml:space="preserve">, </w:t>
      </w:r>
      <w:hyperlink r:id="rId3" w:tooltip="Zakon o izmenama i dopunama Zakona o porezu na dodatu vrednost (18/07/2005)" w:history="1">
        <w:r w:rsidRPr="006B0D5C">
          <w:rPr>
            <w:rFonts w:ascii="Times New Roman" w:hAnsi="Times New Roman" w:cs="Times New Roman"/>
            <w:sz w:val="16"/>
            <w:szCs w:val="16"/>
            <w:lang w:val="en-US"/>
          </w:rPr>
          <w:t>61/05</w:t>
        </w:r>
      </w:hyperlink>
      <w:r w:rsidRPr="006B0D5C">
        <w:rPr>
          <w:rFonts w:ascii="Times New Roman" w:hAnsi="Times New Roman" w:cs="Times New Roman"/>
          <w:sz w:val="16"/>
          <w:szCs w:val="16"/>
          <w:lang w:val="en-US"/>
        </w:rPr>
        <w:t xml:space="preserve">, </w:t>
      </w:r>
      <w:hyperlink r:id="rId4" w:tooltip="Zakon o izmenama i dopunama Zakona o porezu na dodatu vrednost (30/06/2007)" w:history="1">
        <w:r w:rsidRPr="006B0D5C">
          <w:rPr>
            <w:rFonts w:ascii="Times New Roman" w:hAnsi="Times New Roman" w:cs="Times New Roman"/>
            <w:sz w:val="16"/>
            <w:szCs w:val="16"/>
            <w:lang w:val="en-US"/>
          </w:rPr>
          <w:t>61/07</w:t>
        </w:r>
      </w:hyperlink>
      <w:r w:rsidRPr="006B0D5C">
        <w:rPr>
          <w:rFonts w:ascii="Times New Roman" w:hAnsi="Times New Roman" w:cs="Times New Roman"/>
          <w:sz w:val="16"/>
          <w:szCs w:val="16"/>
          <w:lang w:val="en-US"/>
        </w:rPr>
        <w:t xml:space="preserve">, </w:t>
      </w:r>
      <w:hyperlink r:id="rId5" w:tooltip="Zakon o izmenama i dopunama Zakona o porezu na dodatu vrednost (28/09/2012)" w:history="1">
        <w:r w:rsidRPr="006B0D5C">
          <w:rPr>
            <w:rFonts w:ascii="Times New Roman" w:hAnsi="Times New Roman" w:cs="Times New Roman"/>
            <w:sz w:val="16"/>
            <w:szCs w:val="16"/>
            <w:lang w:val="en-US"/>
          </w:rPr>
          <w:t>93/12</w:t>
        </w:r>
      </w:hyperlink>
      <w:r w:rsidRPr="006B0D5C">
        <w:rPr>
          <w:rFonts w:ascii="Times New Roman" w:hAnsi="Times New Roman" w:cs="Times New Roman"/>
          <w:sz w:val="16"/>
          <w:szCs w:val="16"/>
          <w:lang w:val="en-US"/>
        </w:rPr>
        <w:t xml:space="preserve">, </w:t>
      </w:r>
      <w:hyperlink r:id="rId6" w:tooltip="Zakon o izmenama Zakona o porezu na dodatu vrednost (06/12/2013)" w:history="1">
        <w:r w:rsidRPr="006B0D5C">
          <w:rPr>
            <w:rFonts w:ascii="Times New Roman" w:hAnsi="Times New Roman" w:cs="Times New Roman"/>
            <w:sz w:val="16"/>
            <w:szCs w:val="16"/>
            <w:lang w:val="en-US"/>
          </w:rPr>
          <w:t>108/13</w:t>
        </w:r>
      </w:hyperlink>
      <w:r w:rsidRPr="006B0D5C">
        <w:rPr>
          <w:rFonts w:ascii="Times New Roman" w:hAnsi="Times New Roman" w:cs="Times New Roman"/>
          <w:sz w:val="16"/>
          <w:szCs w:val="16"/>
          <w:lang w:val="en-US"/>
        </w:rPr>
        <w:t xml:space="preserve">, </w:t>
      </w:r>
      <w:hyperlink r:id="rId7" w:tooltip="Zakon o izmenama i dopunama Zakona o poreskom postupku i poreskoj administraciji (03/07/2014)" w:history="1">
        <w:r w:rsidRPr="006B0D5C">
          <w:rPr>
            <w:rFonts w:ascii="Times New Roman" w:hAnsi="Times New Roman" w:cs="Times New Roman"/>
            <w:sz w:val="16"/>
            <w:szCs w:val="16"/>
            <w:lang w:val="en-US"/>
          </w:rPr>
          <w:t>68/14</w:t>
        </w:r>
      </w:hyperlink>
      <w:r w:rsidRPr="006B0D5C">
        <w:rPr>
          <w:rFonts w:ascii="Times New Roman" w:hAnsi="Times New Roman" w:cs="Times New Roman"/>
          <w:sz w:val="16"/>
          <w:szCs w:val="16"/>
          <w:lang w:val="en-US"/>
        </w:rPr>
        <w:t xml:space="preserve"> - др.</w:t>
      </w:r>
      <w:r w:rsidRPr="006B0D5C">
        <w:rPr>
          <w:rFonts w:ascii="Times New Roman" w:hAnsi="Times New Roman" w:cs="Times New Roman"/>
          <w:sz w:val="16"/>
          <w:szCs w:val="16"/>
          <w:lang w:val="sr-Cyrl-RS"/>
        </w:rPr>
        <w:t xml:space="preserve"> закон</w:t>
      </w:r>
      <w:r w:rsidRPr="006B0D5C">
        <w:rPr>
          <w:rFonts w:ascii="Times New Roman" w:hAnsi="Times New Roman" w:cs="Times New Roman"/>
          <w:sz w:val="16"/>
          <w:szCs w:val="16"/>
          <w:lang w:val="en-US"/>
        </w:rPr>
        <w:t xml:space="preserve">, </w:t>
      </w:r>
      <w:hyperlink r:id="rId8" w:tooltip="Zakon o izmeni Zakona o porezu na dodatu vrednost (25/12/2014)" w:history="1">
        <w:r w:rsidRPr="006B0D5C">
          <w:rPr>
            <w:rFonts w:ascii="Times New Roman" w:hAnsi="Times New Roman" w:cs="Times New Roman"/>
            <w:sz w:val="16"/>
            <w:szCs w:val="16"/>
            <w:lang w:val="en-US"/>
          </w:rPr>
          <w:t>142/14</w:t>
        </w:r>
      </w:hyperlink>
      <w:r w:rsidRPr="006B0D5C">
        <w:rPr>
          <w:rFonts w:ascii="Times New Roman" w:hAnsi="Times New Roman" w:cs="Times New Roman"/>
          <w:sz w:val="16"/>
          <w:szCs w:val="16"/>
          <w:lang w:val="en-US"/>
        </w:rPr>
        <w:t xml:space="preserve">, </w:t>
      </w:r>
      <w:hyperlink r:id="rId9" w:tooltip="Zakon o izmenama i dopunama Zakona o porezu na dodatu vrednost (03/10/2015)" w:history="1">
        <w:r w:rsidRPr="006B0D5C">
          <w:rPr>
            <w:rFonts w:ascii="Times New Roman" w:hAnsi="Times New Roman" w:cs="Times New Roman"/>
            <w:sz w:val="16"/>
            <w:szCs w:val="16"/>
            <w:lang w:val="en-US"/>
          </w:rPr>
          <w:t>83/15</w:t>
        </w:r>
      </w:hyperlink>
      <w:r w:rsidRPr="006B0D5C">
        <w:rPr>
          <w:rFonts w:ascii="Times New Roman" w:hAnsi="Times New Roman" w:cs="Times New Roman"/>
          <w:sz w:val="16"/>
          <w:szCs w:val="16"/>
          <w:lang w:val="en-US"/>
        </w:rPr>
        <w:t xml:space="preserve">, </w:t>
      </w:r>
      <w:hyperlink r:id="rId10" w:tooltip="Zakon o izmenama i dopunama Zakona o porezu na dodatu vrednost (29/12/2016)" w:history="1">
        <w:r w:rsidRPr="006B0D5C">
          <w:rPr>
            <w:rFonts w:ascii="Times New Roman" w:hAnsi="Times New Roman" w:cs="Times New Roman"/>
            <w:sz w:val="16"/>
            <w:szCs w:val="16"/>
            <w:lang w:val="en-US"/>
          </w:rPr>
          <w:t>108/16</w:t>
        </w:r>
      </w:hyperlink>
      <w:r w:rsidRPr="006B0D5C">
        <w:rPr>
          <w:rFonts w:ascii="Times New Roman" w:hAnsi="Times New Roman" w:cs="Times New Roman"/>
          <w:sz w:val="16"/>
          <w:szCs w:val="16"/>
          <w:lang w:val="en-US"/>
        </w:rPr>
        <w:t xml:space="preserve">, </w:t>
      </w:r>
      <w:hyperlink r:id="rId11" w:tooltip="Zakon o izmenama i dopunama Zakona o porezu na dodatu vrednost (17/12/2017)" w:history="1">
        <w:r w:rsidRPr="006B0D5C">
          <w:rPr>
            <w:rFonts w:ascii="Times New Roman" w:hAnsi="Times New Roman" w:cs="Times New Roman"/>
            <w:sz w:val="16"/>
            <w:szCs w:val="16"/>
            <w:lang w:val="en-US"/>
          </w:rPr>
          <w:t>113/17</w:t>
        </w:r>
      </w:hyperlink>
      <w:r w:rsidRPr="006B0D5C">
        <w:rPr>
          <w:rFonts w:ascii="Times New Roman" w:hAnsi="Times New Roman" w:cs="Times New Roman"/>
          <w:sz w:val="16"/>
          <w:szCs w:val="16"/>
          <w:lang w:val="en-US"/>
        </w:rPr>
        <w:t xml:space="preserve">, </w:t>
      </w:r>
      <w:hyperlink r:id="rId12" w:tooltip="Zakon o izmenama i dopunama Zakona o porezu na dodatu vrednost (20/04/2018)" w:history="1">
        <w:r w:rsidRPr="006B0D5C">
          <w:rPr>
            <w:rFonts w:ascii="Times New Roman" w:hAnsi="Times New Roman" w:cs="Times New Roman"/>
            <w:sz w:val="16"/>
            <w:szCs w:val="16"/>
            <w:lang w:val="en-US"/>
          </w:rPr>
          <w:t>30/18</w:t>
        </w:r>
      </w:hyperlink>
      <w:r w:rsidRPr="006B0D5C">
        <w:rPr>
          <w:rFonts w:ascii="Times New Roman" w:hAnsi="Times New Roman" w:cs="Times New Roman"/>
          <w:sz w:val="16"/>
          <w:szCs w:val="16"/>
          <w:lang w:val="en-US"/>
        </w:rPr>
        <w:t xml:space="preserve">, </w:t>
      </w:r>
      <w:hyperlink r:id="rId13" w:tooltip="Zakon o izmenama i dopunama Zakona o porezu na dodatu vrednost (07/10/2019)" w:history="1">
        <w:r w:rsidRPr="006B0D5C">
          <w:rPr>
            <w:rFonts w:ascii="Times New Roman" w:hAnsi="Times New Roman" w:cs="Times New Roman"/>
            <w:sz w:val="16"/>
            <w:szCs w:val="16"/>
            <w:lang w:val="en-US"/>
          </w:rPr>
          <w:t>72/19</w:t>
        </w:r>
      </w:hyperlink>
      <w:r w:rsidRPr="006B0D5C">
        <w:rPr>
          <w:rFonts w:ascii="Times New Roman" w:hAnsi="Times New Roman" w:cs="Times New Roman"/>
          <w:sz w:val="16"/>
          <w:szCs w:val="16"/>
          <w:lang w:val="en-US"/>
        </w:rPr>
        <w:t xml:space="preserve">, </w:t>
      </w:r>
      <w:hyperlink r:id="rId14" w:tooltip="Zakon o izmenama i dopunama Zakona o porezu na dodatu vrednost (21/12/2020)" w:history="1">
        <w:r w:rsidRPr="006B0D5C">
          <w:rPr>
            <w:rFonts w:ascii="Times New Roman" w:hAnsi="Times New Roman" w:cs="Times New Roman"/>
            <w:sz w:val="16"/>
            <w:szCs w:val="16"/>
            <w:lang w:val="en-US"/>
          </w:rPr>
          <w:t>153/20</w:t>
        </w:r>
      </w:hyperlink>
      <w:r w:rsidRPr="006B0D5C">
        <w:rPr>
          <w:rFonts w:ascii="Times New Roman" w:hAnsi="Times New Roman" w:cs="Times New Roman"/>
          <w:sz w:val="16"/>
          <w:szCs w:val="16"/>
          <w:lang w:val="en-US"/>
        </w:rPr>
        <w:t xml:space="preserve"> и </w:t>
      </w:r>
      <w:hyperlink r:id="rId15" w:tooltip="Zakon o izmenama i dopunama Zakona o porezu na dodatu vrednost (12/12/2022)" w:history="1">
        <w:r w:rsidRPr="006B0D5C">
          <w:rPr>
            <w:rFonts w:ascii="Times New Roman" w:hAnsi="Times New Roman" w:cs="Times New Roman"/>
            <w:sz w:val="16"/>
            <w:szCs w:val="16"/>
            <w:lang w:val="en-US"/>
          </w:rPr>
          <w:t>138/22</w:t>
        </w:r>
      </w:hyperlink>
    </w:p>
  </w:footnote>
  <w:footnote w:id="8">
    <w:p w14:paraId="617451FB" w14:textId="4A350521" w:rsidR="00FF3B8A" w:rsidRPr="006B0D5C" w:rsidRDefault="00FF3B8A" w:rsidP="00214292">
      <w:pPr>
        <w:pStyle w:val="FootnoteText"/>
        <w:jc w:val="both"/>
        <w:rPr>
          <w:lang w:val="sr-Cyrl-RS"/>
        </w:rPr>
      </w:pPr>
      <w:r w:rsidRPr="00A478B3">
        <w:rPr>
          <w:rStyle w:val="FootnoteReference"/>
          <w:sz w:val="18"/>
          <w:szCs w:val="18"/>
        </w:rPr>
        <w:footnoteRef/>
      </w:r>
      <w:r w:rsidRPr="00A478B3">
        <w:rPr>
          <w:sz w:val="18"/>
          <w:szCs w:val="18"/>
        </w:rPr>
        <w:t xml:space="preserve"> </w:t>
      </w:r>
      <w:r w:rsidRPr="00D7585B">
        <w:rPr>
          <w:rFonts w:ascii="Times New Roman" w:hAnsi="Times New Roman" w:cs="Times New Roman"/>
          <w:sz w:val="18"/>
          <w:szCs w:val="18"/>
          <w:lang w:val="sr-Cyrl-RS"/>
        </w:rPr>
        <w:t>,,Службени гласник РС”</w:t>
      </w:r>
      <w:r>
        <w:rPr>
          <w:rFonts w:ascii="Times New Roman" w:hAnsi="Times New Roman" w:cs="Times New Roman"/>
          <w:sz w:val="18"/>
          <w:szCs w:val="18"/>
          <w:lang w:val="sr-Cyrl-RS"/>
        </w:rPr>
        <w:t>, бр. 80/02, 84/02 - исправка, 23/03 - исправка, 70/03, 55/04, 61/05, 85/05 - др. закон, 62/</w:t>
      </w:r>
      <w:r w:rsidRPr="00A478B3">
        <w:rPr>
          <w:rFonts w:ascii="Times New Roman" w:hAnsi="Times New Roman" w:cs="Times New Roman"/>
          <w:sz w:val="18"/>
          <w:szCs w:val="18"/>
          <w:lang w:val="sr-Cyrl-RS"/>
        </w:rPr>
        <w:t>06 - др. зако</w:t>
      </w:r>
      <w:r>
        <w:rPr>
          <w:rFonts w:ascii="Times New Roman" w:hAnsi="Times New Roman" w:cs="Times New Roman"/>
          <w:sz w:val="18"/>
          <w:szCs w:val="18"/>
          <w:lang w:val="sr-Cyrl-RS"/>
        </w:rPr>
        <w:t>н, 61/07, 20/09, 72/09 - др. закон, 53/10, 101/11, 2/12 - исправка, 93/12, 47/13, 108/13, 68/14, 105/14, 91/15 - аутентично тумачење, 112/15, 15/16, 108/16, 30/18, 95/18, 86/19, 144/20,</w:t>
      </w:r>
      <w:r w:rsidRPr="00A478B3">
        <w:rPr>
          <w:rFonts w:ascii="Times New Roman" w:hAnsi="Times New Roman" w:cs="Times New Roman"/>
          <w:sz w:val="18"/>
          <w:szCs w:val="18"/>
          <w:lang w:val="sr-Cyrl-RS"/>
        </w:rPr>
        <w:t xml:space="preserve"> 96/2</w:t>
      </w:r>
      <w:r>
        <w:rPr>
          <w:rFonts w:ascii="Times New Roman" w:hAnsi="Times New Roman" w:cs="Times New Roman"/>
          <w:sz w:val="18"/>
          <w:szCs w:val="18"/>
          <w:lang w:val="sr-Cyrl-RS"/>
        </w:rPr>
        <w:t>1</w:t>
      </w:r>
      <w:r>
        <w:rPr>
          <w:rFonts w:ascii="Times New Roman" w:hAnsi="Times New Roman" w:cs="Times New Roman"/>
          <w:sz w:val="18"/>
          <w:szCs w:val="18"/>
        </w:rPr>
        <w:t xml:space="preserve"> </w:t>
      </w:r>
      <w:r>
        <w:rPr>
          <w:rFonts w:ascii="Times New Roman" w:hAnsi="Times New Roman" w:cs="Times New Roman"/>
          <w:sz w:val="18"/>
          <w:szCs w:val="18"/>
          <w:lang w:val="sr-Cyrl-RS"/>
        </w:rPr>
        <w:t>и 138/22</w:t>
      </w:r>
    </w:p>
  </w:footnote>
  <w:footnote w:id="9">
    <w:p w14:paraId="4679EAB1" w14:textId="754C9519" w:rsidR="00FF3B8A" w:rsidRPr="00092B69" w:rsidRDefault="00FF3B8A">
      <w:pPr>
        <w:pStyle w:val="FootnoteText"/>
        <w:rPr>
          <w:sz w:val="18"/>
          <w:szCs w:val="18"/>
        </w:rPr>
      </w:pPr>
      <w:r w:rsidRPr="00092B69">
        <w:rPr>
          <w:rStyle w:val="FootnoteReference"/>
          <w:sz w:val="18"/>
          <w:szCs w:val="18"/>
        </w:rPr>
        <w:footnoteRef/>
      </w:r>
      <w:r w:rsidRPr="00092B69">
        <w:rPr>
          <w:sz w:val="18"/>
          <w:szCs w:val="18"/>
        </w:rPr>
        <w:t xml:space="preserve"> </w:t>
      </w:r>
      <w:r>
        <w:rPr>
          <w:rFonts w:ascii="Times New Roman" w:hAnsi="Times New Roman" w:cs="Times New Roman"/>
          <w:sz w:val="18"/>
          <w:szCs w:val="18"/>
          <w:lang w:val="sr-Cyrl-RS"/>
        </w:rPr>
        <w:t>„Службени</w:t>
      </w:r>
      <w:r w:rsidRPr="00092B69">
        <w:rPr>
          <w:rFonts w:ascii="Times New Roman" w:hAnsi="Times New Roman" w:cs="Times New Roman"/>
          <w:sz w:val="18"/>
          <w:szCs w:val="18"/>
          <w:lang w:val="sr-Cyrl-RS"/>
        </w:rPr>
        <w:t xml:space="preserve"> гласник РС</w:t>
      </w:r>
      <w:r>
        <w:rPr>
          <w:rFonts w:ascii="Times New Roman" w:hAnsi="Times New Roman" w:cs="Times New Roman"/>
          <w:sz w:val="18"/>
          <w:szCs w:val="18"/>
          <w:lang w:val="sr-Cyrl-RS"/>
        </w:rPr>
        <w:t>”,</w:t>
      </w:r>
      <w:r w:rsidRPr="00092B69">
        <w:rPr>
          <w:rFonts w:ascii="Times New Roman" w:hAnsi="Times New Roman" w:cs="Times New Roman"/>
          <w:sz w:val="18"/>
          <w:szCs w:val="18"/>
          <w:lang w:val="sr-Cyrl-RS"/>
        </w:rPr>
        <w:t xml:space="preserve"> бр.</w:t>
      </w:r>
      <w:r>
        <w:rPr>
          <w:rFonts w:ascii="Times New Roman" w:hAnsi="Times New Roman" w:cs="Times New Roman"/>
          <w:sz w:val="18"/>
          <w:szCs w:val="18"/>
        </w:rPr>
        <w:t xml:space="preserve"> 2</w:t>
      </w:r>
      <w:r>
        <w:rPr>
          <w:rFonts w:ascii="Times New Roman" w:hAnsi="Times New Roman" w:cs="Times New Roman"/>
          <w:sz w:val="18"/>
          <w:szCs w:val="18"/>
          <w:lang w:val="sr-Cyrl-RS"/>
        </w:rPr>
        <w:t>4/05, 61/05, 54/09, 32/13, 75/14, 13/17 - УС, 113/17 и 95/18 -</w:t>
      </w:r>
      <w:r w:rsidRPr="00092B69">
        <w:rPr>
          <w:rFonts w:ascii="Times New Roman" w:hAnsi="Times New Roman" w:cs="Times New Roman"/>
          <w:sz w:val="18"/>
          <w:szCs w:val="18"/>
          <w:lang w:val="sr-Cyrl-RS"/>
        </w:rPr>
        <w:t xml:space="preserve"> аутентично тумачење</w:t>
      </w:r>
    </w:p>
  </w:footnote>
  <w:footnote w:id="10">
    <w:p w14:paraId="4E2D6057" w14:textId="3E0B8861" w:rsidR="00FF3B8A" w:rsidRPr="00092B69" w:rsidRDefault="00FF3B8A">
      <w:pPr>
        <w:pStyle w:val="FootnoteText"/>
        <w:rPr>
          <w:sz w:val="18"/>
          <w:szCs w:val="18"/>
        </w:rPr>
      </w:pPr>
      <w:r w:rsidRPr="00092B69">
        <w:rPr>
          <w:rStyle w:val="FootnoteReference"/>
          <w:sz w:val="18"/>
          <w:szCs w:val="18"/>
        </w:rPr>
        <w:footnoteRef/>
      </w:r>
      <w:r w:rsidRPr="00092B69">
        <w:rPr>
          <w:sz w:val="18"/>
          <w:szCs w:val="18"/>
        </w:rPr>
        <w:t xml:space="preserve"> </w:t>
      </w:r>
      <w:r>
        <w:rPr>
          <w:rFonts w:ascii="Times New Roman" w:hAnsi="Times New Roman" w:cs="Times New Roman"/>
          <w:sz w:val="18"/>
          <w:szCs w:val="18"/>
          <w:lang w:val="sr-Cyrl-RS"/>
        </w:rPr>
        <w:t>„Службени</w:t>
      </w:r>
      <w:r w:rsidRPr="00092B69">
        <w:rPr>
          <w:rFonts w:ascii="Times New Roman" w:hAnsi="Times New Roman" w:cs="Times New Roman"/>
          <w:sz w:val="18"/>
          <w:szCs w:val="18"/>
          <w:lang w:val="sr-Cyrl-RS"/>
        </w:rPr>
        <w:t xml:space="preserve"> гласник РС</w:t>
      </w:r>
      <w:r>
        <w:rPr>
          <w:rFonts w:ascii="Times New Roman" w:hAnsi="Times New Roman" w:cs="Times New Roman"/>
          <w:sz w:val="18"/>
          <w:szCs w:val="18"/>
          <w:lang w:val="sr-Cyrl-RS"/>
        </w:rPr>
        <w:t>”, бр. 36/09, 88/10, 38/15, 113/17, 113/17 - др. закон и 49/</w:t>
      </w:r>
      <w:r w:rsidRPr="00092B69">
        <w:rPr>
          <w:rFonts w:ascii="Times New Roman" w:hAnsi="Times New Roman" w:cs="Times New Roman"/>
          <w:sz w:val="18"/>
          <w:szCs w:val="18"/>
          <w:lang w:val="sr-Cyrl-RS"/>
        </w:rPr>
        <w:t>21</w:t>
      </w:r>
    </w:p>
  </w:footnote>
  <w:footnote w:id="11">
    <w:p w14:paraId="3DD5D3DB" w14:textId="7A9B09BE" w:rsidR="00FF3B8A" w:rsidRPr="00105143" w:rsidRDefault="00FF3B8A">
      <w:pPr>
        <w:pStyle w:val="FootnoteText"/>
        <w:rPr>
          <w:sz w:val="18"/>
          <w:szCs w:val="18"/>
        </w:rPr>
      </w:pPr>
      <w:r w:rsidRPr="00092B69">
        <w:rPr>
          <w:rStyle w:val="FootnoteReference"/>
          <w:sz w:val="18"/>
          <w:szCs w:val="18"/>
        </w:rPr>
        <w:footnoteRef/>
      </w:r>
      <w:r w:rsidRPr="00092B69">
        <w:rPr>
          <w:sz w:val="18"/>
          <w:szCs w:val="18"/>
        </w:rPr>
        <w:t xml:space="preserve"> </w:t>
      </w:r>
      <w:r>
        <w:rPr>
          <w:rFonts w:ascii="Times New Roman" w:hAnsi="Times New Roman" w:cs="Times New Roman"/>
          <w:sz w:val="18"/>
          <w:szCs w:val="18"/>
          <w:lang w:val="sr-Cyrl-RS"/>
        </w:rPr>
        <w:t>„Службени</w:t>
      </w:r>
      <w:r w:rsidRPr="00092B69">
        <w:rPr>
          <w:rFonts w:ascii="Times New Roman" w:hAnsi="Times New Roman" w:cs="Times New Roman"/>
          <w:sz w:val="18"/>
          <w:szCs w:val="18"/>
          <w:lang w:val="sr-Cyrl-RS"/>
        </w:rPr>
        <w:t xml:space="preserve"> гласник РС</w:t>
      </w:r>
      <w:r>
        <w:rPr>
          <w:rFonts w:ascii="Times New Roman" w:hAnsi="Times New Roman" w:cs="Times New Roman"/>
          <w:sz w:val="18"/>
          <w:szCs w:val="18"/>
          <w:lang w:val="sr-Cyrl-RS"/>
        </w:rPr>
        <w:t>”,</w:t>
      </w:r>
      <w:r w:rsidRPr="00092B69">
        <w:rPr>
          <w:rFonts w:ascii="Times New Roman" w:hAnsi="Times New Roman" w:cs="Times New Roman"/>
          <w:sz w:val="18"/>
          <w:szCs w:val="18"/>
          <w:lang w:val="sr-Cyrl-RS"/>
        </w:rPr>
        <w:t xml:space="preserve"> бр</w:t>
      </w:r>
      <w:r>
        <w:rPr>
          <w:rFonts w:ascii="Times New Roman" w:hAnsi="Times New Roman" w:cs="Times New Roman"/>
          <w:sz w:val="18"/>
          <w:szCs w:val="18"/>
          <w:lang w:val="sr-Cyrl-RS"/>
        </w:rPr>
        <w:t>oj</w:t>
      </w:r>
      <w:r w:rsidRPr="00092B69">
        <w:rPr>
          <w:sz w:val="18"/>
          <w:szCs w:val="18"/>
          <w:lang w:val="sr-Cyrl-RS"/>
        </w:rPr>
        <w:t xml:space="preserve"> </w:t>
      </w:r>
      <w:r>
        <w:rPr>
          <w:rFonts w:ascii="Times New Roman" w:hAnsi="Times New Roman" w:cs="Times New Roman"/>
          <w:sz w:val="18"/>
          <w:szCs w:val="18"/>
        </w:rPr>
        <w:t>35/23</w:t>
      </w:r>
    </w:p>
  </w:footnote>
  <w:footnote w:id="12">
    <w:p w14:paraId="4F2D41C3" w14:textId="2285E03B" w:rsidR="00FF3B8A" w:rsidRPr="007D5D0C" w:rsidRDefault="00FF3B8A" w:rsidP="001337FD">
      <w:pPr>
        <w:pStyle w:val="FootnoteText"/>
      </w:pPr>
      <w:r>
        <w:rPr>
          <w:rStyle w:val="FootnoteReference"/>
        </w:rPr>
        <w:footnoteRef/>
      </w:r>
      <w:r>
        <w:t xml:space="preserve"> </w:t>
      </w:r>
      <w:r w:rsidRPr="006D62E4">
        <w:rPr>
          <w:rFonts w:ascii="Times New Roman" w:hAnsi="Times New Roman"/>
          <w:sz w:val="18"/>
          <w:szCs w:val="18"/>
          <w:lang w:val="sr-Cyrl-RS"/>
        </w:rPr>
        <w:t>Код одговарајућих посебних циљева и мера у тексту ће бити дата релевантна веза.</w:t>
      </w:r>
    </w:p>
  </w:footnote>
  <w:footnote w:id="13">
    <w:p w14:paraId="1640C171" w14:textId="77777777" w:rsidR="00FF3B8A" w:rsidRPr="00AA45D6" w:rsidRDefault="00FF3B8A">
      <w:pPr>
        <w:pStyle w:val="FootnoteText"/>
        <w:rPr>
          <w:rFonts w:ascii="Times New Roman" w:hAnsi="Times New Roman" w:cs="Times New Roman"/>
          <w:sz w:val="16"/>
          <w:szCs w:val="16"/>
        </w:rPr>
      </w:pPr>
      <w:r w:rsidRPr="00AA45D6">
        <w:rPr>
          <w:rStyle w:val="FootnoteReference"/>
          <w:rFonts w:ascii="Times New Roman" w:hAnsi="Times New Roman" w:cs="Times New Roman"/>
          <w:sz w:val="16"/>
          <w:szCs w:val="16"/>
        </w:rPr>
        <w:footnoteRef/>
      </w:r>
      <w:r w:rsidRPr="00AA45D6">
        <w:rPr>
          <w:rFonts w:ascii="Times New Roman" w:hAnsi="Times New Roman" w:cs="Times New Roman"/>
          <w:sz w:val="16"/>
          <w:szCs w:val="16"/>
        </w:rPr>
        <w:t xml:space="preserve"> </w:t>
      </w:r>
      <w:r w:rsidRPr="00AA45D6">
        <w:rPr>
          <w:rFonts w:ascii="Times New Roman" w:hAnsi="Times New Roman" w:cs="Times New Roman"/>
          <w:i/>
          <w:iCs/>
          <w:sz w:val="16"/>
          <w:szCs w:val="16"/>
        </w:rPr>
        <w:t>Transforming our world: the 2030 Agenda for Sustainable Development</w:t>
      </w:r>
      <w:r w:rsidRPr="00AA45D6">
        <w:rPr>
          <w:rFonts w:ascii="Times New Roman" w:hAnsi="Times New Roman" w:cs="Times New Roman"/>
          <w:sz w:val="16"/>
          <w:szCs w:val="16"/>
        </w:rPr>
        <w:t xml:space="preserve">, </w:t>
      </w:r>
      <w:r w:rsidRPr="00AA45D6">
        <w:rPr>
          <w:rFonts w:ascii="Times New Roman" w:hAnsi="Times New Roman" w:cs="Times New Roman"/>
          <w:sz w:val="16"/>
          <w:szCs w:val="16"/>
          <w:lang w:val="sr-Cyrl-RS"/>
        </w:rPr>
        <w:t>септембар 2015. године</w:t>
      </w:r>
      <w:r w:rsidRPr="00AA45D6">
        <w:rPr>
          <w:rFonts w:ascii="Times New Roman" w:hAnsi="Times New Roman" w:cs="Times New Roman"/>
          <w:sz w:val="16"/>
          <w:szCs w:val="16"/>
        </w:rPr>
        <w:t xml:space="preserve"> https://sdgs.un.org/2030agenda </w:t>
      </w:r>
    </w:p>
  </w:footnote>
  <w:footnote w:id="14">
    <w:p w14:paraId="4D49B93B" w14:textId="77777777" w:rsidR="00FF3B8A" w:rsidRPr="00AA45D6" w:rsidRDefault="00FF3B8A">
      <w:pPr>
        <w:pStyle w:val="FootnoteText"/>
        <w:rPr>
          <w:sz w:val="16"/>
          <w:szCs w:val="16"/>
          <w:lang w:val="sr-Cyrl-RS"/>
        </w:rPr>
      </w:pPr>
      <w:r w:rsidRPr="00AA45D6">
        <w:rPr>
          <w:rStyle w:val="FootnoteReference"/>
          <w:rFonts w:ascii="Times New Roman" w:hAnsi="Times New Roman" w:cs="Times New Roman"/>
          <w:sz w:val="16"/>
          <w:szCs w:val="16"/>
        </w:rPr>
        <w:footnoteRef/>
      </w:r>
      <w:r w:rsidRPr="00AA45D6">
        <w:rPr>
          <w:rFonts w:ascii="Times New Roman" w:hAnsi="Times New Roman" w:cs="Times New Roman"/>
          <w:sz w:val="16"/>
          <w:szCs w:val="16"/>
        </w:rPr>
        <w:t xml:space="preserve"> </w:t>
      </w:r>
      <w:r w:rsidRPr="00AA45D6">
        <w:rPr>
          <w:rFonts w:ascii="Times New Roman" w:hAnsi="Times New Roman" w:cs="Times New Roman"/>
          <w:sz w:val="16"/>
          <w:szCs w:val="16"/>
          <w:lang w:val="sr-Cyrl-RS"/>
        </w:rPr>
        <w:t>Циљеви одрживог развоја, доступно на: https://sdgs.un.org/goals</w:t>
      </w:r>
    </w:p>
  </w:footnote>
  <w:footnote w:id="15">
    <w:p w14:paraId="2053FA95" w14:textId="77777777" w:rsidR="00FF3B8A" w:rsidRPr="00AA45D6" w:rsidRDefault="00FF3B8A">
      <w:pPr>
        <w:pStyle w:val="FootnoteText"/>
        <w:rPr>
          <w:sz w:val="16"/>
          <w:szCs w:val="16"/>
          <w:lang w:val="sr-Cyrl-RS"/>
        </w:rPr>
      </w:pPr>
      <w:r w:rsidRPr="00AA45D6">
        <w:rPr>
          <w:rStyle w:val="FootnoteReference"/>
          <w:sz w:val="16"/>
          <w:szCs w:val="16"/>
        </w:rPr>
        <w:footnoteRef/>
      </w:r>
      <w:r w:rsidRPr="00AA45D6">
        <w:rPr>
          <w:sz w:val="16"/>
          <w:szCs w:val="16"/>
        </w:rPr>
        <w:t xml:space="preserve"> </w:t>
      </w:r>
      <w:r w:rsidRPr="00AA45D6">
        <w:rPr>
          <w:rFonts w:ascii="Times New Roman" w:hAnsi="Times New Roman" w:cs="Times New Roman"/>
          <w:i/>
          <w:iCs/>
          <w:sz w:val="16"/>
          <w:szCs w:val="16"/>
        </w:rPr>
        <w:t>An SME Strategy for a sustainable and digital Europe</w:t>
      </w:r>
      <w:r w:rsidRPr="00AA45D6">
        <w:rPr>
          <w:rFonts w:ascii="Times New Roman" w:hAnsi="Times New Roman" w:cs="Times New Roman"/>
          <w:sz w:val="16"/>
          <w:szCs w:val="16"/>
        </w:rPr>
        <w:t xml:space="preserve">, </w:t>
      </w:r>
      <w:r w:rsidRPr="00AA45D6">
        <w:rPr>
          <w:rFonts w:ascii="Times New Roman" w:hAnsi="Times New Roman" w:cs="Times New Roman"/>
          <w:sz w:val="16"/>
          <w:szCs w:val="16"/>
          <w:lang w:val="sr-Cyrl-RS"/>
        </w:rPr>
        <w:t>доступно на</w:t>
      </w:r>
      <w:r w:rsidRPr="00AA45D6">
        <w:rPr>
          <w:sz w:val="16"/>
          <w:szCs w:val="16"/>
          <w:lang w:val="sr-Cyrl-RS"/>
        </w:rPr>
        <w:t>: https://ec.europa.eu/info/sites/default/files/communication-sme-strategy-march-2020_en.pdf</w:t>
      </w:r>
    </w:p>
  </w:footnote>
  <w:footnote w:id="16">
    <w:p w14:paraId="50C0DA0E" w14:textId="66265E28" w:rsidR="00FF3B8A" w:rsidRPr="00AA45D6" w:rsidRDefault="00FF3B8A" w:rsidP="00237903">
      <w:pPr>
        <w:pStyle w:val="FootnoteText"/>
        <w:jc w:val="both"/>
        <w:rPr>
          <w:rFonts w:ascii="Times New Roman" w:hAnsi="Times New Roman" w:cs="Times New Roman"/>
          <w:sz w:val="16"/>
          <w:szCs w:val="16"/>
          <w:lang w:val="sr-Cyrl-RS"/>
        </w:rPr>
      </w:pPr>
      <w:r w:rsidRPr="00AA45D6">
        <w:rPr>
          <w:rStyle w:val="FootnoteReference"/>
          <w:sz w:val="16"/>
          <w:szCs w:val="16"/>
        </w:rPr>
        <w:footnoteRef/>
      </w:r>
      <w:r w:rsidRPr="00AA45D6">
        <w:rPr>
          <w:sz w:val="16"/>
          <w:szCs w:val="16"/>
        </w:rPr>
        <w:t xml:space="preserve"> </w:t>
      </w:r>
      <w:r w:rsidRPr="00AA45D6">
        <w:rPr>
          <w:rFonts w:ascii="Times New Roman" w:hAnsi="Times New Roman" w:cs="Times New Roman"/>
          <w:sz w:val="16"/>
          <w:szCs w:val="16"/>
        </w:rPr>
        <w:t xml:space="preserve">Стратешки документ који је ЕУ усвојила 2008. године </w:t>
      </w:r>
      <w:r w:rsidRPr="00AA45D6">
        <w:rPr>
          <w:rFonts w:ascii="Times New Roman" w:hAnsi="Times New Roman" w:cs="Times New Roman"/>
          <w:sz w:val="16"/>
          <w:szCs w:val="16"/>
          <w:lang w:val="sr-Cyrl-RS"/>
        </w:rPr>
        <w:t xml:space="preserve">и </w:t>
      </w:r>
      <w:r w:rsidRPr="00AA45D6">
        <w:rPr>
          <w:rFonts w:ascii="Times New Roman" w:hAnsi="Times New Roman" w:cs="Times New Roman"/>
          <w:sz w:val="16"/>
          <w:szCs w:val="16"/>
        </w:rPr>
        <w:t>који је сектор</w:t>
      </w:r>
      <w:r w:rsidRPr="00AA45D6">
        <w:rPr>
          <w:rFonts w:ascii="Times New Roman" w:hAnsi="Times New Roman" w:cs="Times New Roman"/>
          <w:sz w:val="16"/>
          <w:szCs w:val="16"/>
          <w:lang w:val="sr-Cyrl-RS"/>
        </w:rPr>
        <w:t xml:space="preserve"> МСПП</w:t>
      </w:r>
      <w:r w:rsidRPr="00AA45D6">
        <w:rPr>
          <w:rFonts w:ascii="Times New Roman" w:hAnsi="Times New Roman" w:cs="Times New Roman"/>
          <w:sz w:val="16"/>
          <w:szCs w:val="16"/>
        </w:rPr>
        <w:t xml:space="preserve"> поставио у центар свих политичких и економских тема за брз и просперитетан</w:t>
      </w:r>
      <w:r w:rsidRPr="00AA45D6">
        <w:rPr>
          <w:rFonts w:ascii="Times New Roman" w:hAnsi="Times New Roman" w:cs="Times New Roman"/>
          <w:sz w:val="16"/>
          <w:szCs w:val="16"/>
          <w:lang w:val="sr-Cyrl-RS"/>
        </w:rPr>
        <w:t xml:space="preserve"> </w:t>
      </w:r>
      <w:r w:rsidRPr="00AA45D6">
        <w:rPr>
          <w:rFonts w:ascii="Times New Roman" w:hAnsi="Times New Roman" w:cs="Times New Roman"/>
          <w:sz w:val="16"/>
          <w:szCs w:val="16"/>
        </w:rPr>
        <w:t>развој</w:t>
      </w:r>
      <w:r w:rsidRPr="00AA45D6">
        <w:rPr>
          <w:rFonts w:ascii="Times New Roman" w:hAnsi="Times New Roman" w:cs="Times New Roman"/>
          <w:sz w:val="16"/>
          <w:szCs w:val="16"/>
          <w:lang w:val="sr-Cyrl-RS"/>
        </w:rPr>
        <w:t xml:space="preserve"> ЕУ. Република Србија је у потпуности учествовала</w:t>
      </w:r>
      <w:r w:rsidRPr="00843EF1">
        <w:rPr>
          <w:rFonts w:ascii="Times New Roman" w:hAnsi="Times New Roman" w:cs="Times New Roman"/>
          <w:lang w:val="sr-Cyrl-RS"/>
        </w:rPr>
        <w:t xml:space="preserve"> </w:t>
      </w:r>
      <w:r w:rsidRPr="00AA45D6">
        <w:rPr>
          <w:rFonts w:ascii="Times New Roman" w:hAnsi="Times New Roman" w:cs="Times New Roman"/>
          <w:sz w:val="16"/>
          <w:szCs w:val="16"/>
          <w:lang w:val="sr-Cyrl-RS"/>
        </w:rPr>
        <w:t>у  спровођењу приоритета докумената, који су интегрисани као саставни део акционих планова за реализацију политике МСПП у Републици Србији.</w:t>
      </w:r>
    </w:p>
  </w:footnote>
  <w:footnote w:id="17">
    <w:p w14:paraId="117A2035" w14:textId="77777777" w:rsidR="00FF3B8A" w:rsidRPr="00843EF1" w:rsidRDefault="00FF3B8A">
      <w:pPr>
        <w:pStyle w:val="FootnoteText"/>
        <w:rPr>
          <w:rFonts w:ascii="Times New Roman" w:hAnsi="Times New Roman" w:cs="Times New Roman"/>
          <w:lang w:val="sr-Cyrl-RS"/>
        </w:rPr>
      </w:pPr>
      <w:r w:rsidRPr="00843EF1">
        <w:rPr>
          <w:rStyle w:val="FootnoteReference"/>
          <w:rFonts w:ascii="Times New Roman" w:hAnsi="Times New Roman" w:cs="Times New Roman"/>
        </w:rPr>
        <w:footnoteRef/>
      </w:r>
      <w:r w:rsidRPr="00843EF1">
        <w:rPr>
          <w:rFonts w:ascii="Times New Roman" w:hAnsi="Times New Roman" w:cs="Times New Roman"/>
        </w:rPr>
        <w:t xml:space="preserve"> Oдрживи транспорт и енергетска повезаност, зелена и дигитална трансформација, јачање конкурентности приватног сектора и подршка здравству, образовању и социјалној заштити, укључујући гаранцију младих за стварање могућности за запошљавање младих.</w:t>
      </w:r>
    </w:p>
  </w:footnote>
  <w:footnote w:id="18">
    <w:p w14:paraId="153251EC" w14:textId="77777777" w:rsidR="00FF3B8A" w:rsidRPr="00237903" w:rsidRDefault="00FF3B8A">
      <w:pPr>
        <w:pStyle w:val="FootnoteText"/>
        <w:rPr>
          <w:lang w:val="sr-Cyrl-RS"/>
        </w:rPr>
      </w:pPr>
      <w:r>
        <w:rPr>
          <w:rStyle w:val="FootnoteReference"/>
        </w:rPr>
        <w:footnoteRef/>
      </w:r>
      <w:r>
        <w:t xml:space="preserve"> </w:t>
      </w:r>
      <w:r w:rsidRPr="00843EF1">
        <w:rPr>
          <w:rFonts w:ascii="Times New Roman" w:hAnsi="Times New Roman" w:cs="Times New Roman"/>
          <w:lang w:val="sr-Cyrl-RS"/>
        </w:rPr>
        <w:t>Доступно на</w:t>
      </w:r>
      <w:r>
        <w:rPr>
          <w:lang w:val="sr-Cyrl-RS"/>
        </w:rPr>
        <w:t xml:space="preserve">: </w:t>
      </w:r>
      <w:r w:rsidRPr="00291330">
        <w:rPr>
          <w:lang w:val="sr-Cyrl-RS"/>
        </w:rPr>
        <w:t>https://neighbourhood-enlargement.ec.europa.eu/serbia-report-2022_en</w:t>
      </w:r>
    </w:p>
  </w:footnote>
  <w:footnote w:id="19">
    <w:p w14:paraId="467D74D8" w14:textId="77777777" w:rsidR="00FF3B8A" w:rsidRPr="00237903" w:rsidRDefault="00FF3B8A">
      <w:pPr>
        <w:pStyle w:val="FootnoteText"/>
        <w:rPr>
          <w:rFonts w:ascii="Times New Roman" w:hAnsi="Times New Roman" w:cs="Times New Roman"/>
          <w:sz w:val="18"/>
          <w:szCs w:val="18"/>
          <w:lang w:val="sr-Cyrl-RS"/>
        </w:rPr>
      </w:pPr>
      <w:r w:rsidRPr="00237903">
        <w:rPr>
          <w:rStyle w:val="FootnoteReference"/>
          <w:rFonts w:ascii="Times New Roman" w:hAnsi="Times New Roman" w:cs="Times New Roman"/>
          <w:sz w:val="18"/>
          <w:szCs w:val="18"/>
        </w:rPr>
        <w:footnoteRef/>
      </w:r>
      <w:r w:rsidRPr="00237903">
        <w:rPr>
          <w:rFonts w:ascii="Times New Roman" w:hAnsi="Times New Roman" w:cs="Times New Roman"/>
          <w:sz w:val="18"/>
          <w:szCs w:val="18"/>
        </w:rPr>
        <w:t xml:space="preserve"> </w:t>
      </w:r>
      <w:r w:rsidRPr="00237903">
        <w:rPr>
          <w:rFonts w:ascii="Times New Roman" w:hAnsi="Times New Roman" w:cs="Times New Roman"/>
          <w:sz w:val="18"/>
          <w:szCs w:val="18"/>
          <w:lang w:val="sr-Cyrl-RS"/>
        </w:rPr>
        <w:t xml:space="preserve">Извештај ЕК за Србију, 2022. године, доступно на: </w:t>
      </w:r>
      <w:hyperlink r:id="rId16" w:history="1">
        <w:r w:rsidRPr="00237903">
          <w:rPr>
            <w:rStyle w:val="Hyperlink"/>
            <w:rFonts w:ascii="Times New Roman" w:hAnsi="Times New Roman" w:cs="Times New Roman"/>
            <w:sz w:val="18"/>
            <w:szCs w:val="18"/>
            <w:lang w:val="sr-Cyrl-RS"/>
          </w:rPr>
          <w:t>https://neighbourhood-enlargement.ec.europa.eu/serbia-report-2022_en</w:t>
        </w:r>
      </w:hyperlink>
      <w:r w:rsidRPr="00237903">
        <w:rPr>
          <w:rFonts w:ascii="Times New Roman" w:hAnsi="Times New Roman" w:cs="Times New Roman"/>
          <w:sz w:val="18"/>
          <w:szCs w:val="18"/>
          <w:lang w:val="sr-Cyrl-RS"/>
        </w:rPr>
        <w:t>; приступљено: 24. 10. 2022. године</w:t>
      </w:r>
    </w:p>
  </w:footnote>
  <w:footnote w:id="20">
    <w:p w14:paraId="55F85F74" w14:textId="77777777" w:rsidR="00FF3B8A" w:rsidRPr="00237903" w:rsidRDefault="00FF3B8A">
      <w:pPr>
        <w:pStyle w:val="FootnoteText"/>
        <w:rPr>
          <w:rFonts w:ascii="Times New Roman" w:hAnsi="Times New Roman" w:cs="Times New Roman"/>
          <w:sz w:val="18"/>
          <w:szCs w:val="18"/>
          <w:lang w:val="sr-Cyrl-RS"/>
        </w:rPr>
      </w:pPr>
      <w:r w:rsidRPr="00237903">
        <w:rPr>
          <w:rStyle w:val="FootnoteReference"/>
          <w:rFonts w:ascii="Times New Roman" w:hAnsi="Times New Roman" w:cs="Times New Roman"/>
          <w:sz w:val="18"/>
          <w:szCs w:val="18"/>
        </w:rPr>
        <w:footnoteRef/>
      </w:r>
      <w:r w:rsidRPr="00237903">
        <w:rPr>
          <w:rFonts w:ascii="Times New Roman" w:hAnsi="Times New Roman" w:cs="Times New Roman"/>
          <w:sz w:val="18"/>
          <w:szCs w:val="18"/>
        </w:rPr>
        <w:t xml:space="preserve"> </w:t>
      </w:r>
      <w:r w:rsidRPr="00237903">
        <w:rPr>
          <w:rFonts w:ascii="Times New Roman" w:hAnsi="Times New Roman" w:cs="Times New Roman"/>
          <w:sz w:val="18"/>
          <w:szCs w:val="18"/>
          <w:lang w:val="sr-Cyrl-RS"/>
        </w:rPr>
        <w:t xml:space="preserve">Више на: </w:t>
      </w:r>
      <w:r w:rsidRPr="00237903">
        <w:rPr>
          <w:rFonts w:ascii="Times New Roman" w:hAnsi="Times New Roman" w:cs="Times New Roman"/>
          <w:sz w:val="18"/>
          <w:szCs w:val="18"/>
        </w:rPr>
        <w:t>https://www.oecd-ilibrary.org/development/sme-policy-index_24136883</w:t>
      </w:r>
    </w:p>
  </w:footnote>
  <w:footnote w:id="21">
    <w:p w14:paraId="3472CEF1" w14:textId="509FF0F1" w:rsidR="00FF3B8A" w:rsidRPr="00237903" w:rsidRDefault="00FF3B8A">
      <w:pPr>
        <w:pStyle w:val="FootnoteText"/>
        <w:rPr>
          <w:lang w:val="sr-Cyrl-RS"/>
        </w:rPr>
      </w:pPr>
      <w:r w:rsidRPr="00237903">
        <w:rPr>
          <w:rStyle w:val="FootnoteReference"/>
          <w:rFonts w:ascii="Times New Roman" w:hAnsi="Times New Roman" w:cs="Times New Roman"/>
          <w:sz w:val="18"/>
          <w:szCs w:val="18"/>
        </w:rPr>
        <w:footnoteRef/>
      </w:r>
      <w:r w:rsidRPr="00237903">
        <w:rPr>
          <w:rFonts w:ascii="Times New Roman" w:hAnsi="Times New Roman" w:cs="Times New Roman"/>
          <w:sz w:val="18"/>
          <w:szCs w:val="18"/>
        </w:rPr>
        <w:t xml:space="preserve"> Имајући у виду да је у 2020. години усвојен нови оквир политике МСПП у ЕУ (ЕУ Стратегија</w:t>
      </w:r>
      <w:r w:rsidRPr="006E73A1">
        <w:rPr>
          <w:rFonts w:ascii="Times New Roman" w:hAnsi="Times New Roman" w:cs="Times New Roman"/>
          <w:b/>
          <w:bCs/>
          <w:color w:val="FF0000"/>
          <w:sz w:val="18"/>
          <w:szCs w:val="18"/>
        </w:rPr>
        <w:t xml:space="preserve"> </w:t>
      </w:r>
      <w:r w:rsidRPr="00237903">
        <w:rPr>
          <w:rFonts w:ascii="Times New Roman" w:hAnsi="Times New Roman" w:cs="Times New Roman"/>
          <w:sz w:val="18"/>
          <w:szCs w:val="18"/>
        </w:rPr>
        <w:t xml:space="preserve">МСПП), у наредном периоду </w:t>
      </w:r>
      <w:r w:rsidRPr="00237903">
        <w:rPr>
          <w:rFonts w:ascii="Times New Roman" w:hAnsi="Times New Roman" w:cs="Times New Roman"/>
          <w:sz w:val="18"/>
          <w:szCs w:val="18"/>
          <w:lang w:val="sr-Cyrl-RS"/>
        </w:rPr>
        <w:t xml:space="preserve">се очекује </w:t>
      </w:r>
      <w:r w:rsidRPr="00237903">
        <w:rPr>
          <w:rFonts w:ascii="Times New Roman" w:hAnsi="Times New Roman" w:cs="Times New Roman"/>
          <w:sz w:val="18"/>
          <w:szCs w:val="18"/>
        </w:rPr>
        <w:t>усклађивањ</w:t>
      </w:r>
      <w:r w:rsidRPr="00237903">
        <w:rPr>
          <w:rFonts w:ascii="Times New Roman" w:hAnsi="Times New Roman" w:cs="Times New Roman"/>
          <w:sz w:val="18"/>
          <w:szCs w:val="18"/>
          <w:lang w:val="sr-Cyrl-RS"/>
        </w:rPr>
        <w:t>е</w:t>
      </w:r>
      <w:r w:rsidRPr="00237903">
        <w:rPr>
          <w:rFonts w:ascii="Times New Roman" w:hAnsi="Times New Roman" w:cs="Times New Roman"/>
          <w:sz w:val="18"/>
          <w:szCs w:val="18"/>
        </w:rPr>
        <w:t xml:space="preserve"> методологије Индекса политике МСП за Западни Балкан и Турску</w:t>
      </w:r>
      <w:r w:rsidRPr="00237903">
        <w:rPr>
          <w:rFonts w:ascii="Times New Roman" w:hAnsi="Times New Roman" w:cs="Times New Roman"/>
          <w:sz w:val="18"/>
          <w:szCs w:val="18"/>
          <w:lang w:val="sr-Cyrl-RS"/>
        </w:rPr>
        <w:t xml:space="preserve"> са том новом ЕУ политиком.</w:t>
      </w:r>
      <w:r>
        <w:rPr>
          <w:lang w:val="sr-Cyrl-RS"/>
        </w:rPr>
        <w:t xml:space="preserve"> </w:t>
      </w:r>
    </w:p>
  </w:footnote>
  <w:footnote w:id="22">
    <w:p w14:paraId="39BF797F" w14:textId="01C2080F" w:rsidR="00FF3B8A" w:rsidRDefault="00FF3B8A" w:rsidP="006422F3">
      <w:pPr>
        <w:pStyle w:val="FootnoteText"/>
        <w:rPr>
          <w:sz w:val="16"/>
          <w:szCs w:val="16"/>
          <w:lang w:val="sr-Cyrl-RS"/>
        </w:rPr>
      </w:pPr>
      <w:r>
        <w:rPr>
          <w:rStyle w:val="FootnoteReference"/>
          <w:sz w:val="16"/>
          <w:szCs w:val="16"/>
        </w:rPr>
        <w:t>[1]</w:t>
      </w:r>
      <w:r>
        <w:rPr>
          <w:sz w:val="16"/>
          <w:szCs w:val="16"/>
        </w:rPr>
        <w:t xml:space="preserve"> </w:t>
      </w:r>
      <w:r w:rsidRPr="00690AC5">
        <w:rPr>
          <w:rFonts w:ascii="Times New Roman" w:hAnsi="Times New Roman" w:cs="Times New Roman"/>
          <w:sz w:val="16"/>
          <w:szCs w:val="16"/>
        </w:rPr>
        <w:t>Ревидирана Фискална стратегија за 2022. годину са пројекцијама за 2023. и 2024. годину</w:t>
      </w:r>
      <w:r>
        <w:rPr>
          <w:rFonts w:ascii="Times New Roman" w:hAnsi="Times New Roman" w:cs="Times New Roman"/>
          <w:sz w:val="16"/>
          <w:szCs w:val="16"/>
          <w:lang w:val="sr-Cyrl-RS"/>
        </w:rPr>
        <w:t>, „Службени гласник РС”, 106/</w:t>
      </w:r>
      <w:r w:rsidRPr="00690AC5">
        <w:rPr>
          <w:rFonts w:ascii="Times New Roman" w:hAnsi="Times New Roman" w:cs="Times New Roman"/>
          <w:sz w:val="16"/>
          <w:szCs w:val="16"/>
          <w:lang w:val="sr-Cyrl-RS"/>
        </w:rPr>
        <w:t>21, доступно на</w:t>
      </w:r>
      <w:r>
        <w:rPr>
          <w:sz w:val="16"/>
          <w:szCs w:val="16"/>
          <w:lang w:val="sr-Cyrl-RS"/>
        </w:rPr>
        <w:t xml:space="preserve">: </w:t>
      </w:r>
      <w:hyperlink r:id="rId17" w:history="1">
        <w:r>
          <w:rPr>
            <w:rStyle w:val="Hyperlink"/>
            <w:sz w:val="16"/>
            <w:szCs w:val="16"/>
            <w:lang w:val="sr-Cyrl-RS"/>
          </w:rPr>
          <w:t>https://www.mfin.gov.rs/dokumenti2/fiskalnastrategija</w:t>
        </w:r>
      </w:hyperlink>
      <w:r>
        <w:rPr>
          <w:sz w:val="16"/>
          <w:szCs w:val="16"/>
        </w:rPr>
        <w:t xml:space="preserve"> </w:t>
      </w:r>
    </w:p>
  </w:footnote>
  <w:footnote w:id="23">
    <w:p w14:paraId="01A4E178" w14:textId="77777777" w:rsidR="00FF3B8A" w:rsidRPr="006D62E4" w:rsidRDefault="00FF3B8A" w:rsidP="006422F3">
      <w:pPr>
        <w:pStyle w:val="FootnoteText"/>
        <w:rPr>
          <w:rFonts w:ascii="Times New Roman" w:eastAsia="Times New Roman" w:hAnsi="Times New Roman" w:cs="Times New Roman"/>
          <w:sz w:val="16"/>
          <w:szCs w:val="16"/>
          <w:lang w:val="sr-Cyrl-RS"/>
        </w:rPr>
      </w:pPr>
      <w:r>
        <w:rPr>
          <w:rStyle w:val="FootnoteReference"/>
          <w:sz w:val="18"/>
          <w:szCs w:val="18"/>
        </w:rPr>
        <w:t>[2</w:t>
      </w:r>
      <w:r w:rsidRPr="00690AC5">
        <w:rPr>
          <w:rStyle w:val="FootnoteReference"/>
          <w:rFonts w:ascii="Times New Roman" w:hAnsi="Times New Roman" w:cs="Times New Roman"/>
          <w:sz w:val="18"/>
          <w:szCs w:val="18"/>
        </w:rPr>
        <w:t>]</w:t>
      </w:r>
      <w:r w:rsidRPr="00690AC5">
        <w:rPr>
          <w:rFonts w:ascii="Times New Roman" w:hAnsi="Times New Roman" w:cs="Times New Roman"/>
          <w:sz w:val="18"/>
          <w:szCs w:val="18"/>
        </w:rPr>
        <w:t xml:space="preserve"> </w:t>
      </w:r>
      <w:r w:rsidRPr="006D62E4">
        <w:rPr>
          <w:rFonts w:ascii="Times New Roman" w:hAnsi="Times New Roman" w:cs="Times New Roman"/>
          <w:sz w:val="16"/>
          <w:szCs w:val="16"/>
          <w:lang w:val="sr-Cyrl-RS"/>
        </w:rPr>
        <w:t>Фискална стратегија за 2023. годину са пројекцијама за 2024. и 2025. годину</w:t>
      </w:r>
    </w:p>
  </w:footnote>
  <w:footnote w:id="24">
    <w:p w14:paraId="2D6A7463" w14:textId="0EEC6A58" w:rsidR="00FF3B8A" w:rsidRPr="006D62E4" w:rsidRDefault="00FF3B8A" w:rsidP="006422F3">
      <w:pPr>
        <w:pStyle w:val="FootnoteText"/>
        <w:rPr>
          <w:rFonts w:ascii="Times New Roman" w:hAnsi="Times New Roman" w:cs="Times New Roman"/>
          <w:bCs/>
          <w:sz w:val="16"/>
          <w:szCs w:val="16"/>
          <w:lang w:val="sr-Cyrl-RS"/>
        </w:rPr>
      </w:pPr>
      <w:r w:rsidRPr="00690AC5">
        <w:rPr>
          <w:rStyle w:val="FootnoteReference"/>
          <w:rFonts w:ascii="Times New Roman" w:hAnsi="Times New Roman" w:cs="Times New Roman"/>
        </w:rPr>
        <w:t>[3</w:t>
      </w:r>
      <w:r w:rsidRPr="00690AC5">
        <w:rPr>
          <w:rStyle w:val="FootnoteReference"/>
          <w:rFonts w:ascii="Times New Roman" w:hAnsi="Times New Roman" w:cs="Times New Roman"/>
          <w:sz w:val="16"/>
          <w:szCs w:val="16"/>
        </w:rPr>
        <w:t>]</w:t>
      </w:r>
      <w:r w:rsidRPr="00690AC5">
        <w:rPr>
          <w:rFonts w:ascii="Times New Roman" w:hAnsi="Times New Roman" w:cs="Times New Roman"/>
          <w:sz w:val="16"/>
          <w:szCs w:val="16"/>
        </w:rPr>
        <w:t xml:space="preserve"> </w:t>
      </w:r>
      <w:r>
        <w:rPr>
          <w:rFonts w:ascii="Times New Roman" w:hAnsi="Times New Roman" w:cs="Times New Roman"/>
          <w:b/>
          <w:bCs/>
          <w:color w:val="FF0000"/>
          <w:sz w:val="16"/>
          <w:szCs w:val="16"/>
          <w:lang w:val="sr-Cyrl-RS"/>
        </w:rPr>
        <w:t xml:space="preserve"> </w:t>
      </w:r>
      <w:r w:rsidRPr="006D62E4">
        <w:rPr>
          <w:rFonts w:ascii="Times New Roman" w:hAnsi="Times New Roman" w:cs="Times New Roman"/>
          <w:bCs/>
          <w:sz w:val="16"/>
          <w:szCs w:val="16"/>
          <w:lang w:val="sr-Cyrl-RS"/>
        </w:rPr>
        <w:t>Фискална стратегија за 2023. годину са пројекцијама за 2024. и 2025. годину</w:t>
      </w:r>
    </w:p>
  </w:footnote>
  <w:footnote w:id="25">
    <w:p w14:paraId="67FFD1DB" w14:textId="77777777" w:rsidR="00FF3B8A" w:rsidRPr="006D62E4" w:rsidRDefault="00FF3B8A" w:rsidP="006422F3">
      <w:pPr>
        <w:pStyle w:val="FootnoteText"/>
        <w:rPr>
          <w:rFonts w:ascii="Times New Roman" w:hAnsi="Times New Roman" w:cs="Times New Roman"/>
          <w:bCs/>
          <w:sz w:val="16"/>
          <w:szCs w:val="16"/>
          <w:lang w:val="sr-Cyrl-RS"/>
        </w:rPr>
      </w:pPr>
      <w:r w:rsidRPr="006D62E4">
        <w:rPr>
          <w:rStyle w:val="FootnoteReference"/>
          <w:rFonts w:ascii="Times New Roman" w:hAnsi="Times New Roman" w:cs="Times New Roman"/>
          <w:bCs/>
          <w:sz w:val="16"/>
          <w:szCs w:val="16"/>
        </w:rPr>
        <w:t>[4]</w:t>
      </w:r>
      <w:r w:rsidRPr="006D62E4">
        <w:rPr>
          <w:rFonts w:ascii="Times New Roman" w:hAnsi="Times New Roman" w:cs="Times New Roman"/>
          <w:bCs/>
          <w:sz w:val="16"/>
          <w:szCs w:val="16"/>
        </w:rPr>
        <w:t xml:space="preserve"> </w:t>
      </w:r>
      <w:r w:rsidRPr="006D62E4">
        <w:rPr>
          <w:rFonts w:ascii="Times New Roman" w:hAnsi="Times New Roman" w:cs="Times New Roman"/>
          <w:bCs/>
          <w:sz w:val="16"/>
          <w:szCs w:val="16"/>
          <w:lang w:val="sr-Cyrl-RS"/>
        </w:rPr>
        <w:t>Процена РЗС на бази кварталних података</w:t>
      </w:r>
    </w:p>
  </w:footnote>
  <w:footnote w:id="26">
    <w:p w14:paraId="5C22A65F" w14:textId="1EB87794" w:rsidR="00FF3B8A" w:rsidRPr="006D62E4" w:rsidRDefault="00FF3B8A" w:rsidP="006422F3">
      <w:pPr>
        <w:pStyle w:val="FootnoteText"/>
        <w:rPr>
          <w:rFonts w:ascii="Times New Roman" w:hAnsi="Times New Roman" w:cs="Times New Roman"/>
          <w:bCs/>
          <w:sz w:val="16"/>
          <w:szCs w:val="16"/>
          <w:lang w:val="sr-Cyrl-RS"/>
        </w:rPr>
      </w:pPr>
      <w:r w:rsidRPr="006D62E4">
        <w:rPr>
          <w:rStyle w:val="FootnoteReference"/>
          <w:rFonts w:ascii="Times New Roman" w:hAnsi="Times New Roman" w:cs="Times New Roman"/>
          <w:bCs/>
          <w:sz w:val="16"/>
          <w:szCs w:val="16"/>
        </w:rPr>
        <w:t>[5]</w:t>
      </w:r>
      <w:r w:rsidRPr="006D62E4">
        <w:rPr>
          <w:rFonts w:ascii="Times New Roman" w:hAnsi="Times New Roman" w:cs="Times New Roman"/>
          <w:bCs/>
          <w:sz w:val="16"/>
          <w:szCs w:val="16"/>
        </w:rPr>
        <w:t xml:space="preserve"> </w:t>
      </w:r>
      <w:r w:rsidRPr="006D62E4">
        <w:rPr>
          <w:rFonts w:ascii="Times New Roman" w:hAnsi="Times New Roman" w:cs="Times New Roman"/>
          <w:bCs/>
          <w:sz w:val="16"/>
          <w:szCs w:val="16"/>
          <w:lang w:val="sr-Cyrl-RS"/>
        </w:rPr>
        <w:t xml:space="preserve"> Процена РЗС на бази кварталних података</w:t>
      </w:r>
    </w:p>
  </w:footnote>
  <w:footnote w:id="27">
    <w:p w14:paraId="529C08AA" w14:textId="25D038CA" w:rsidR="00FF3B8A" w:rsidRPr="006D62E4" w:rsidRDefault="00FF3B8A" w:rsidP="00B65FD6">
      <w:pPr>
        <w:pStyle w:val="FootnoteText"/>
        <w:rPr>
          <w:rFonts w:ascii="Times New Roman" w:hAnsi="Times New Roman" w:cs="Times New Roman"/>
          <w:bCs/>
          <w:sz w:val="16"/>
          <w:szCs w:val="16"/>
        </w:rPr>
      </w:pPr>
      <w:r w:rsidRPr="006D62E4">
        <w:rPr>
          <w:rStyle w:val="FootnoteReference"/>
          <w:rFonts w:ascii="Times New Roman" w:hAnsi="Times New Roman" w:cs="Times New Roman"/>
          <w:bCs/>
          <w:sz w:val="16"/>
          <w:szCs w:val="16"/>
        </w:rPr>
        <w:t>[</w:t>
      </w:r>
      <w:r w:rsidRPr="006D62E4">
        <w:rPr>
          <w:rStyle w:val="FootnoteReference"/>
          <w:rFonts w:ascii="Times New Roman" w:hAnsi="Times New Roman" w:cs="Times New Roman"/>
          <w:bCs/>
          <w:sz w:val="16"/>
          <w:szCs w:val="16"/>
          <w:lang w:val="sr-Cyrl-RS"/>
        </w:rPr>
        <w:t>6</w:t>
      </w:r>
      <w:r w:rsidRPr="006D62E4">
        <w:rPr>
          <w:rStyle w:val="FootnoteReference"/>
          <w:rFonts w:ascii="Times New Roman" w:hAnsi="Times New Roman" w:cs="Times New Roman"/>
          <w:bCs/>
          <w:sz w:val="16"/>
          <w:szCs w:val="16"/>
        </w:rPr>
        <w:t>]</w:t>
      </w:r>
      <w:r w:rsidRPr="006D62E4">
        <w:rPr>
          <w:rFonts w:ascii="Times New Roman" w:hAnsi="Times New Roman" w:cs="Times New Roman"/>
          <w:bCs/>
          <w:sz w:val="16"/>
          <w:szCs w:val="16"/>
        </w:rPr>
        <w:t xml:space="preserve"> </w:t>
      </w:r>
      <w:r w:rsidRPr="006D62E4">
        <w:rPr>
          <w:rFonts w:ascii="Times New Roman" w:hAnsi="Times New Roman" w:cs="Times New Roman"/>
          <w:bCs/>
          <w:sz w:val="16"/>
          <w:szCs w:val="16"/>
          <w:lang w:val="sr-Cyrl-RS"/>
        </w:rPr>
        <w:t xml:space="preserve"> Процена РЗС на бази кварталних података</w:t>
      </w:r>
    </w:p>
  </w:footnote>
  <w:footnote w:id="28">
    <w:p w14:paraId="470540C4" w14:textId="122217E6" w:rsidR="00FF3B8A" w:rsidRPr="006D62E4" w:rsidRDefault="00FF3B8A" w:rsidP="00B65FD6">
      <w:pPr>
        <w:pStyle w:val="FootnoteText"/>
        <w:rPr>
          <w:rFonts w:ascii="Times New Roman" w:hAnsi="Times New Roman" w:cs="Times New Roman"/>
          <w:bCs/>
          <w:sz w:val="16"/>
          <w:szCs w:val="16"/>
        </w:rPr>
      </w:pPr>
      <w:r w:rsidRPr="006D62E4">
        <w:rPr>
          <w:rStyle w:val="FootnoteReference"/>
          <w:rFonts w:ascii="Times New Roman" w:hAnsi="Times New Roman" w:cs="Times New Roman"/>
          <w:bCs/>
          <w:sz w:val="16"/>
          <w:szCs w:val="16"/>
        </w:rPr>
        <w:t>[</w:t>
      </w:r>
      <w:r w:rsidRPr="006D62E4">
        <w:rPr>
          <w:rStyle w:val="FootnoteReference"/>
          <w:rFonts w:ascii="Times New Roman" w:hAnsi="Times New Roman" w:cs="Times New Roman"/>
          <w:bCs/>
          <w:sz w:val="16"/>
          <w:szCs w:val="16"/>
          <w:lang w:val="sr-Cyrl-RS"/>
        </w:rPr>
        <w:t>7</w:t>
      </w:r>
      <w:r w:rsidRPr="006D62E4">
        <w:rPr>
          <w:rFonts w:ascii="Times New Roman" w:hAnsi="Times New Roman" w:cs="Times New Roman"/>
          <w:bCs/>
          <w:sz w:val="16"/>
          <w:szCs w:val="16"/>
          <w:lang w:val="sr-Cyrl-RS"/>
        </w:rPr>
        <w:t xml:space="preserve"> Процена РЗС на бази кварталних података</w:t>
      </w:r>
    </w:p>
    <w:p w14:paraId="2F928555" w14:textId="77777777" w:rsidR="00FF3B8A" w:rsidRPr="00A94DE1" w:rsidRDefault="00FF3B8A" w:rsidP="00B65FD6">
      <w:pPr>
        <w:pStyle w:val="FootnoteText"/>
        <w:rPr>
          <w:rFonts w:ascii="Times New Roman" w:hAnsi="Times New Roman" w:cs="Times New Roman"/>
          <w:sz w:val="16"/>
          <w:szCs w:val="16"/>
        </w:rPr>
      </w:pPr>
    </w:p>
  </w:footnote>
  <w:footnote w:id="29">
    <w:p w14:paraId="0A6EF5F3" w14:textId="06C04E3B" w:rsidR="00FF3B8A" w:rsidRPr="00406594" w:rsidRDefault="00FF3B8A" w:rsidP="00FF6A58">
      <w:pPr>
        <w:pStyle w:val="FootnoteText"/>
        <w:rPr>
          <w:rFonts w:ascii="Times New Roman" w:hAnsi="Times New Roman" w:cs="Times New Roman"/>
          <w:sz w:val="16"/>
          <w:szCs w:val="16"/>
          <w:lang w:val="sr-Cyrl-RS"/>
        </w:rPr>
      </w:pPr>
      <w:r>
        <w:rPr>
          <w:rStyle w:val="FootnoteReference"/>
        </w:rPr>
        <w:footnoteRef/>
      </w:r>
      <w:r>
        <w:t xml:space="preserve"> </w:t>
      </w:r>
      <w:r w:rsidRPr="00406594">
        <w:rPr>
          <w:rFonts w:ascii="Times New Roman" w:hAnsi="Times New Roman" w:cs="Times New Roman"/>
          <w:sz w:val="16"/>
          <w:szCs w:val="16"/>
          <w:lang w:val="sr-Cyrl-RS"/>
        </w:rPr>
        <w:t>У овом делу коришћени су подаци из Извештаја о малим и средњим предузећима и предузетницима за 2020. годину, Министарство привреде и Скр</w:t>
      </w:r>
      <w:r>
        <w:rPr>
          <w:rFonts w:ascii="Times New Roman" w:hAnsi="Times New Roman" w:cs="Times New Roman"/>
          <w:sz w:val="16"/>
          <w:szCs w:val="16"/>
          <w:lang w:val="sr-Cyrl-RS"/>
        </w:rPr>
        <w:t>а</w:t>
      </w:r>
      <w:r w:rsidRPr="00406594">
        <w:rPr>
          <w:rFonts w:ascii="Times New Roman" w:hAnsi="Times New Roman" w:cs="Times New Roman"/>
          <w:sz w:val="16"/>
          <w:szCs w:val="16"/>
          <w:lang w:val="sr-Cyrl-RS"/>
        </w:rPr>
        <w:t>ћеног извештаја о МСПП за 2021. годину, Министарство привреде, а на основу података РЗС</w:t>
      </w:r>
    </w:p>
  </w:footnote>
  <w:footnote w:id="30">
    <w:p w14:paraId="5DDE1396" w14:textId="77777777" w:rsidR="00FF3B8A" w:rsidRPr="002A3FD0" w:rsidRDefault="00FF3B8A" w:rsidP="00FF6A58">
      <w:pPr>
        <w:pStyle w:val="FootnoteText"/>
        <w:rPr>
          <w:sz w:val="16"/>
          <w:szCs w:val="16"/>
          <w:lang w:val="sr-Cyrl-RS"/>
        </w:rPr>
      </w:pPr>
      <w:r w:rsidRPr="002A3FD0">
        <w:rPr>
          <w:rStyle w:val="FootnoteReference"/>
          <w:sz w:val="16"/>
          <w:szCs w:val="16"/>
        </w:rPr>
        <w:footnoteRef/>
      </w:r>
      <w:r w:rsidRPr="002A3FD0">
        <w:rPr>
          <w:sz w:val="16"/>
          <w:szCs w:val="16"/>
        </w:rPr>
        <w:t xml:space="preserve"> </w:t>
      </w:r>
      <w:r w:rsidRPr="00406594">
        <w:rPr>
          <w:rFonts w:ascii="Times New Roman" w:hAnsi="Times New Roman" w:cs="Times New Roman"/>
          <w:sz w:val="16"/>
          <w:szCs w:val="16"/>
          <w:lang w:val="sr-Cyrl-RS"/>
        </w:rPr>
        <w:t>Годишњи извештај о МСП у ЕУ 2020/2021, Европска комисија, доступно на</w:t>
      </w:r>
      <w:r w:rsidRPr="002A3FD0">
        <w:rPr>
          <w:sz w:val="16"/>
          <w:szCs w:val="16"/>
          <w:lang w:val="sr-Cyrl-RS"/>
        </w:rPr>
        <w:t xml:space="preserve">: </w:t>
      </w:r>
      <w:hyperlink r:id="rId18" w:history="1">
        <w:r w:rsidRPr="002A3FD0">
          <w:rPr>
            <w:rStyle w:val="Hyperlink"/>
            <w:sz w:val="16"/>
            <w:szCs w:val="16"/>
            <w:lang w:val="sr-Cyrl-RS"/>
          </w:rPr>
          <w:t>https://ec.europa.eu/docsroom/documents/46062</w:t>
        </w:r>
      </w:hyperlink>
      <w:r w:rsidRPr="002A3FD0">
        <w:rPr>
          <w:sz w:val="16"/>
          <w:szCs w:val="16"/>
          <w:lang w:val="sr-Cyrl-RS"/>
        </w:rPr>
        <w:t xml:space="preserve"> </w:t>
      </w:r>
    </w:p>
  </w:footnote>
  <w:footnote w:id="31">
    <w:p w14:paraId="2BA2570E" w14:textId="77777777" w:rsidR="00FF3B8A" w:rsidRPr="00CF52EB" w:rsidRDefault="00FF3B8A">
      <w:pPr>
        <w:pStyle w:val="FootnoteText"/>
        <w:rPr>
          <w:rFonts w:ascii="Times New Roman" w:hAnsi="Times New Roman" w:cs="Times New Roman"/>
          <w:lang w:val="sr-Cyrl-RS"/>
        </w:rPr>
      </w:pPr>
      <w:r>
        <w:rPr>
          <w:rStyle w:val="FootnoteReference"/>
        </w:rPr>
        <w:footnoteRef/>
      </w:r>
      <w:r>
        <w:t xml:space="preserve"> </w:t>
      </w:r>
      <w:r w:rsidRPr="00CF52EB">
        <w:rPr>
          <w:rFonts w:ascii="Times New Roman" w:hAnsi="Times New Roman" w:cs="Times New Roman"/>
          <w:lang w:val="sr-Cyrl-RS"/>
        </w:rPr>
        <w:t>„</w:t>
      </w:r>
      <w:r w:rsidRPr="00CF52EB">
        <w:rPr>
          <w:rFonts w:ascii="Times New Roman" w:hAnsi="Times New Roman" w:cs="Times New Roman"/>
        </w:rPr>
        <w:t>Службени гласник Републике Србије”, број 35/15</w:t>
      </w:r>
    </w:p>
  </w:footnote>
  <w:footnote w:id="32">
    <w:p w14:paraId="0DF28DB4" w14:textId="77777777" w:rsidR="00FF3B8A" w:rsidRPr="00CF52EB" w:rsidRDefault="00FF3B8A">
      <w:pPr>
        <w:pStyle w:val="FootnoteText"/>
        <w:rPr>
          <w:rFonts w:ascii="Times New Roman" w:hAnsi="Times New Roman" w:cs="Times New Roman"/>
          <w:lang w:val="sr-Cyrl-RS"/>
        </w:rPr>
      </w:pPr>
      <w:r>
        <w:rPr>
          <w:rStyle w:val="FootnoteReference"/>
        </w:rPr>
        <w:footnoteRef/>
      </w:r>
      <w:r>
        <w:t xml:space="preserve"> </w:t>
      </w:r>
      <w:r w:rsidRPr="00CF52EB">
        <w:rPr>
          <w:rFonts w:ascii="Times New Roman" w:hAnsi="Times New Roman" w:cs="Times New Roman"/>
        </w:rPr>
        <w:t>Стратегија за подршку развоја малих и средњих предузећа, предузетништва и конкурентности за период 2015. до 2020. године</w:t>
      </w:r>
    </w:p>
  </w:footnote>
  <w:footnote w:id="33">
    <w:p w14:paraId="2D32EF29" w14:textId="77777777" w:rsidR="00FF3B8A" w:rsidRPr="00CF52EB" w:rsidRDefault="00FF3B8A" w:rsidP="003E14AF">
      <w:pPr>
        <w:pStyle w:val="FootnoteText"/>
        <w:rPr>
          <w:rFonts w:ascii="Times New Roman" w:hAnsi="Times New Roman" w:cs="Times New Roman"/>
          <w:sz w:val="16"/>
          <w:szCs w:val="16"/>
          <w:lang w:val="sr-Cyrl-RS"/>
        </w:rPr>
      </w:pPr>
      <w:r w:rsidRPr="00627920">
        <w:rPr>
          <w:rStyle w:val="FootnoteReference"/>
          <w:rFonts w:cs="Arial"/>
          <w:sz w:val="16"/>
          <w:szCs w:val="16"/>
        </w:rPr>
        <w:footnoteRef/>
      </w:r>
      <w:r w:rsidRPr="00627920">
        <w:rPr>
          <w:rFonts w:cs="Arial"/>
          <w:sz w:val="16"/>
          <w:szCs w:val="16"/>
          <w:lang w:val="sr-Cyrl-RS"/>
        </w:rPr>
        <w:t xml:space="preserve"> </w:t>
      </w:r>
      <w:r w:rsidRPr="00CF52EB">
        <w:rPr>
          <w:rFonts w:ascii="Times New Roman" w:hAnsi="Times New Roman" w:cs="Times New Roman"/>
          <w:sz w:val="16"/>
          <w:szCs w:val="16"/>
          <w:lang w:val="sr-Cyrl-RS"/>
        </w:rPr>
        <w:t>Миљеновић, Р. (2019), Стратегија за подршку развоја малих и средњих предузећа, предузетништва и конкурентности за период од 2015. до 2020. године са Акционим планом. Анализа ефеката и потреба за ревизијом (</w:t>
      </w:r>
      <w:r w:rsidRPr="00CF52EB">
        <w:rPr>
          <w:rFonts w:ascii="Times New Roman" w:hAnsi="Times New Roman" w:cs="Times New Roman"/>
          <w:i/>
          <w:iCs/>
          <w:sz w:val="16"/>
          <w:szCs w:val="16"/>
        </w:rPr>
        <w:t>mid</w:t>
      </w:r>
      <w:r w:rsidRPr="00CF52EB">
        <w:rPr>
          <w:rFonts w:ascii="Times New Roman" w:hAnsi="Times New Roman" w:cs="Times New Roman"/>
          <w:i/>
          <w:iCs/>
          <w:sz w:val="16"/>
          <w:szCs w:val="16"/>
          <w:lang w:val="sr-Cyrl-RS"/>
        </w:rPr>
        <w:t>-</w:t>
      </w:r>
      <w:r w:rsidRPr="00CF52EB">
        <w:rPr>
          <w:rFonts w:ascii="Times New Roman" w:hAnsi="Times New Roman" w:cs="Times New Roman"/>
          <w:i/>
          <w:iCs/>
          <w:sz w:val="16"/>
          <w:szCs w:val="16"/>
        </w:rPr>
        <w:t>term</w:t>
      </w:r>
      <w:r w:rsidRPr="00CF52EB">
        <w:rPr>
          <w:rFonts w:ascii="Times New Roman" w:hAnsi="Times New Roman" w:cs="Times New Roman"/>
          <w:i/>
          <w:iCs/>
          <w:sz w:val="16"/>
          <w:szCs w:val="16"/>
          <w:lang w:val="sr-Cyrl-RS"/>
        </w:rPr>
        <w:t xml:space="preserve"> </w:t>
      </w:r>
      <w:r w:rsidRPr="00CF52EB">
        <w:rPr>
          <w:rFonts w:ascii="Times New Roman" w:hAnsi="Times New Roman" w:cs="Times New Roman"/>
          <w:sz w:val="16"/>
          <w:szCs w:val="16"/>
          <w:lang w:val="sr-Cyrl-RS"/>
        </w:rPr>
        <w:t>евалуација), Центар за европске политике, доступно на</w:t>
      </w:r>
      <w:r w:rsidRPr="00CF52EB">
        <w:rPr>
          <w:rFonts w:ascii="Times New Roman" w:hAnsi="Times New Roman" w:cs="Times New Roman"/>
          <w:sz w:val="16"/>
          <w:szCs w:val="16"/>
        </w:rPr>
        <w:t>: https</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cep</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org</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rs</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publications</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strategija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za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podrsku</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razvoja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malih</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i</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srednjih</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preduzeca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preduzetnistva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i</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konkurentnosti</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za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period</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od</w:t>
      </w:r>
      <w:r w:rsidRPr="00CF52EB">
        <w:rPr>
          <w:rFonts w:ascii="Times New Roman" w:hAnsi="Times New Roman" w:cs="Times New Roman"/>
          <w:sz w:val="16"/>
          <w:szCs w:val="16"/>
          <w:lang w:val="sr-Cyrl-RS"/>
        </w:rPr>
        <w:t>-2015-</w:t>
      </w:r>
      <w:r w:rsidRPr="00CF52EB">
        <w:rPr>
          <w:rFonts w:ascii="Times New Roman" w:hAnsi="Times New Roman" w:cs="Times New Roman"/>
          <w:sz w:val="16"/>
          <w:szCs w:val="16"/>
        </w:rPr>
        <w:t>do</w:t>
      </w:r>
      <w:r w:rsidRPr="00CF52EB">
        <w:rPr>
          <w:rFonts w:ascii="Times New Roman" w:hAnsi="Times New Roman" w:cs="Times New Roman"/>
          <w:sz w:val="16"/>
          <w:szCs w:val="16"/>
          <w:lang w:val="sr-Cyrl-RS"/>
        </w:rPr>
        <w:t>-2020-</w:t>
      </w:r>
      <w:r w:rsidRPr="00CF52EB">
        <w:rPr>
          <w:rFonts w:ascii="Times New Roman" w:hAnsi="Times New Roman" w:cs="Times New Roman"/>
          <w:sz w:val="16"/>
          <w:szCs w:val="16"/>
        </w:rPr>
        <w:t>godine</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sa</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akcionim</w:t>
      </w:r>
      <w:r w:rsidRPr="00CF52EB">
        <w:rPr>
          <w:rFonts w:ascii="Times New Roman" w:hAnsi="Times New Roman" w:cs="Times New Roman"/>
          <w:sz w:val="16"/>
          <w:szCs w:val="16"/>
          <w:lang w:val="sr-Cyrl-RS"/>
        </w:rPr>
        <w:t>-</w:t>
      </w:r>
      <w:r w:rsidRPr="00CF52EB">
        <w:rPr>
          <w:rFonts w:ascii="Times New Roman" w:hAnsi="Times New Roman" w:cs="Times New Roman"/>
          <w:sz w:val="16"/>
          <w:szCs w:val="16"/>
        </w:rPr>
        <w:t>planom</w:t>
      </w:r>
    </w:p>
  </w:footnote>
  <w:footnote w:id="34">
    <w:p w14:paraId="160DB749" w14:textId="77777777" w:rsidR="00FF3B8A" w:rsidRPr="00CF52EB" w:rsidRDefault="00FF3B8A" w:rsidP="00CA295B">
      <w:pPr>
        <w:pStyle w:val="FootnoteText"/>
        <w:jc w:val="both"/>
        <w:rPr>
          <w:rFonts w:ascii="Times New Roman" w:hAnsi="Times New Roman" w:cs="Times New Roman"/>
          <w:sz w:val="16"/>
          <w:szCs w:val="16"/>
          <w:lang w:val="sr-Cyrl-RS"/>
        </w:rPr>
      </w:pPr>
      <w:r w:rsidRPr="00627920">
        <w:rPr>
          <w:rStyle w:val="FootnoteReference"/>
          <w:rFonts w:cs="Arial"/>
          <w:sz w:val="16"/>
          <w:szCs w:val="16"/>
        </w:rPr>
        <w:footnoteRef/>
      </w:r>
      <w:r w:rsidRPr="00627920">
        <w:rPr>
          <w:rFonts w:cs="Arial"/>
          <w:sz w:val="16"/>
          <w:szCs w:val="16"/>
          <w:lang w:val="sr-Cyrl-RS"/>
        </w:rPr>
        <w:t xml:space="preserve"> </w:t>
      </w:r>
      <w:r w:rsidRPr="00CF52EB">
        <w:rPr>
          <w:rFonts w:ascii="Times New Roman" w:hAnsi="Times New Roman" w:cs="Times New Roman"/>
          <w:sz w:val="16"/>
          <w:szCs w:val="16"/>
          <w:lang w:val="sr-Cyrl-RS"/>
        </w:rPr>
        <w:t xml:space="preserve">Николић </w:t>
      </w:r>
      <w:r w:rsidRPr="00CF52EB">
        <w:rPr>
          <w:rFonts w:ascii="Times New Roman" w:hAnsi="Times New Roman" w:cs="Times New Roman"/>
          <w:sz w:val="16"/>
          <w:szCs w:val="16"/>
        </w:rPr>
        <w:t>M</w:t>
      </w:r>
      <w:r w:rsidRPr="00CF52EB">
        <w:rPr>
          <w:rFonts w:ascii="Times New Roman" w:hAnsi="Times New Roman" w:cs="Times New Roman"/>
          <w:sz w:val="16"/>
          <w:szCs w:val="16"/>
          <w:lang w:val="sr-Cyrl-RS"/>
        </w:rPr>
        <w:t>. &amp; Филиповић М. (2022), Извештај о малим и средњим предузећима и предузетништву 2020, Београд, Министарство привреде Републике Србије</w:t>
      </w:r>
    </w:p>
  </w:footnote>
  <w:footnote w:id="35">
    <w:p w14:paraId="273D389F" w14:textId="4B253C12" w:rsidR="00FF3B8A" w:rsidRPr="002C73E3" w:rsidRDefault="00FF3B8A" w:rsidP="003E14AF">
      <w:pPr>
        <w:pStyle w:val="FootnoteText"/>
        <w:rPr>
          <w:rFonts w:ascii="Times New Roman" w:hAnsi="Times New Roman" w:cs="Times New Roman"/>
          <w:sz w:val="16"/>
          <w:szCs w:val="16"/>
        </w:rPr>
      </w:pPr>
      <w:r w:rsidRPr="00627920">
        <w:rPr>
          <w:rStyle w:val="FootnoteReference"/>
          <w:rFonts w:cs="Arial"/>
          <w:sz w:val="16"/>
          <w:szCs w:val="16"/>
        </w:rPr>
        <w:footnoteRef/>
      </w:r>
      <w:r w:rsidRPr="00627920">
        <w:rPr>
          <w:rFonts w:cs="Arial"/>
          <w:sz w:val="16"/>
          <w:szCs w:val="16"/>
          <w:lang w:val="sr-Cyrl-RS"/>
        </w:rPr>
        <w:t xml:space="preserve"> </w:t>
      </w:r>
      <w:r w:rsidRPr="002C73E3">
        <w:rPr>
          <w:rFonts w:ascii="Times New Roman" w:hAnsi="Times New Roman" w:cs="Times New Roman"/>
          <w:sz w:val="16"/>
          <w:szCs w:val="16"/>
          <w:lang w:val="sr-Cyrl-RS"/>
        </w:rPr>
        <w:t>Индикатори пословања МСПП према делатности у 2015.</w:t>
      </w:r>
      <w:r>
        <w:rPr>
          <w:rFonts w:ascii="Times New Roman" w:hAnsi="Times New Roman" w:cs="Times New Roman"/>
          <w:sz w:val="16"/>
          <w:szCs w:val="16"/>
          <w:lang w:val="sr-Cyrl-RS"/>
        </w:rPr>
        <w:t xml:space="preserve"> години.</w:t>
      </w:r>
      <w:r w:rsidRPr="002C73E3">
        <w:rPr>
          <w:rFonts w:ascii="Times New Roman" w:hAnsi="Times New Roman" w:cs="Times New Roman"/>
          <w:sz w:val="16"/>
          <w:szCs w:val="16"/>
          <w:lang w:val="sr-Cyrl-RS"/>
        </w:rPr>
        <w:t xml:space="preserve"> Развојна агенција Србије, доступно на: </w:t>
      </w:r>
      <w:r w:rsidRPr="002C73E3">
        <w:rPr>
          <w:rFonts w:ascii="Times New Roman" w:hAnsi="Times New Roman" w:cs="Times New Roman"/>
          <w:sz w:val="16"/>
          <w:szCs w:val="16"/>
          <w:lang w:val="es-ES"/>
        </w:rPr>
        <w:t>http</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jrm</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rs</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index</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php</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nepovol</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na</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sektorska</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struktura</w:t>
      </w:r>
      <w:r w:rsidRPr="002C73E3">
        <w:rPr>
          <w:rFonts w:ascii="Times New Roman" w:hAnsi="Times New Roman" w:cs="Times New Roman"/>
          <w:sz w:val="16"/>
          <w:szCs w:val="16"/>
          <w:lang w:val="sr-Cyrl-RS"/>
        </w:rPr>
        <w:t>-</w:t>
      </w:r>
      <w:r w:rsidRPr="002C73E3">
        <w:rPr>
          <w:rFonts w:ascii="Times New Roman" w:hAnsi="Times New Roman" w:cs="Times New Roman"/>
          <w:sz w:val="16"/>
          <w:szCs w:val="16"/>
          <w:lang w:val="es-ES"/>
        </w:rPr>
        <w:t>mspp</w:t>
      </w:r>
    </w:p>
  </w:footnote>
  <w:footnote w:id="36">
    <w:p w14:paraId="72B20214" w14:textId="7B320C46" w:rsidR="00FF3B8A" w:rsidRPr="00C05465" w:rsidRDefault="00FF3B8A" w:rsidP="008E4F38">
      <w:pPr>
        <w:pStyle w:val="FootnoteText"/>
        <w:jc w:val="both"/>
        <w:rPr>
          <w:rFonts w:ascii="Times New Roman" w:hAnsi="Times New Roman" w:cs="Times New Roman"/>
          <w:lang w:val="sr-Cyrl-RS"/>
        </w:rPr>
      </w:pPr>
      <w:r>
        <w:rPr>
          <w:rStyle w:val="FootnoteReference"/>
        </w:rPr>
        <w:footnoteRef/>
      </w:r>
      <w:r>
        <w:t xml:space="preserve"> </w:t>
      </w:r>
      <w:r w:rsidRPr="00C05465">
        <w:rPr>
          <w:rFonts w:ascii="Times New Roman" w:hAnsi="Times New Roman" w:cs="Times New Roman"/>
          <w:lang w:val="sr-Cyrl-RS"/>
        </w:rPr>
        <w:t>Н</w:t>
      </w:r>
      <w:r w:rsidRPr="00C05465">
        <w:rPr>
          <w:rFonts w:ascii="Times New Roman" w:hAnsi="Times New Roman" w:cs="Times New Roman"/>
        </w:rPr>
        <w:t>иво ЕУ, Чешка</w:t>
      </w:r>
      <w:r>
        <w:rPr>
          <w:rFonts w:ascii="Times New Roman" w:hAnsi="Times New Roman" w:cs="Times New Roman"/>
          <w:lang w:val="sr-Cyrl-RS"/>
        </w:rPr>
        <w:t xml:space="preserve"> Република</w:t>
      </w:r>
      <w:r w:rsidRPr="00C05465">
        <w:rPr>
          <w:rFonts w:ascii="Times New Roman" w:hAnsi="Times New Roman" w:cs="Times New Roman"/>
        </w:rPr>
        <w:t xml:space="preserve">, </w:t>
      </w:r>
      <w:r>
        <w:rPr>
          <w:rFonts w:ascii="Times New Roman" w:hAnsi="Times New Roman" w:cs="Times New Roman"/>
          <w:lang w:val="sr-Cyrl-RS"/>
        </w:rPr>
        <w:t xml:space="preserve">Краљевина </w:t>
      </w:r>
      <w:r w:rsidRPr="00C05465">
        <w:rPr>
          <w:rFonts w:ascii="Times New Roman" w:hAnsi="Times New Roman" w:cs="Times New Roman"/>
        </w:rPr>
        <w:t>Данска,</w:t>
      </w:r>
      <w:r>
        <w:rPr>
          <w:rFonts w:ascii="Times New Roman" w:hAnsi="Times New Roman" w:cs="Times New Roman"/>
          <w:lang w:val="sr-Cyrl-RS"/>
        </w:rPr>
        <w:t xml:space="preserve"> Република </w:t>
      </w:r>
      <w:r w:rsidRPr="00C05465">
        <w:rPr>
          <w:rFonts w:ascii="Times New Roman" w:hAnsi="Times New Roman" w:cs="Times New Roman"/>
        </w:rPr>
        <w:t xml:space="preserve"> Естонија, Француска</w:t>
      </w:r>
      <w:r>
        <w:rPr>
          <w:rFonts w:ascii="Times New Roman" w:hAnsi="Times New Roman" w:cs="Times New Roman"/>
          <w:lang w:val="sr-Cyrl-RS"/>
        </w:rPr>
        <w:t xml:space="preserve"> Република</w:t>
      </w:r>
      <w:r w:rsidRPr="00C05465">
        <w:rPr>
          <w:rFonts w:ascii="Times New Roman" w:hAnsi="Times New Roman" w:cs="Times New Roman"/>
        </w:rPr>
        <w:t xml:space="preserve">, </w:t>
      </w:r>
      <w:r>
        <w:rPr>
          <w:rFonts w:ascii="Times New Roman" w:hAnsi="Times New Roman" w:cs="Times New Roman"/>
          <w:lang w:val="sr-Cyrl-RS"/>
        </w:rPr>
        <w:t xml:space="preserve">Савезна Република </w:t>
      </w:r>
      <w:r w:rsidRPr="00C05465">
        <w:rPr>
          <w:rFonts w:ascii="Times New Roman" w:hAnsi="Times New Roman" w:cs="Times New Roman"/>
        </w:rPr>
        <w:t xml:space="preserve">Немачка, Мађарска, </w:t>
      </w:r>
      <w:r>
        <w:rPr>
          <w:rFonts w:ascii="Times New Roman" w:hAnsi="Times New Roman" w:cs="Times New Roman"/>
          <w:lang w:val="sr-Cyrl-RS"/>
        </w:rPr>
        <w:t xml:space="preserve">Република </w:t>
      </w:r>
      <w:r w:rsidRPr="00C05465">
        <w:rPr>
          <w:rFonts w:ascii="Times New Roman" w:hAnsi="Times New Roman" w:cs="Times New Roman"/>
        </w:rPr>
        <w:t>Ирска,</w:t>
      </w:r>
      <w:r>
        <w:rPr>
          <w:rFonts w:ascii="Times New Roman" w:hAnsi="Times New Roman" w:cs="Times New Roman"/>
          <w:lang w:val="sr-Cyrl-RS"/>
        </w:rPr>
        <w:t xml:space="preserve"> Република</w:t>
      </w:r>
      <w:r w:rsidRPr="00C05465">
        <w:rPr>
          <w:rFonts w:ascii="Times New Roman" w:hAnsi="Times New Roman" w:cs="Times New Roman"/>
        </w:rPr>
        <w:t xml:space="preserve"> Италија, </w:t>
      </w:r>
      <w:r>
        <w:rPr>
          <w:rFonts w:ascii="Times New Roman" w:hAnsi="Times New Roman" w:cs="Times New Roman"/>
          <w:lang w:val="sr-Cyrl-RS"/>
        </w:rPr>
        <w:t xml:space="preserve">Република </w:t>
      </w:r>
      <w:r w:rsidRPr="00C05465">
        <w:rPr>
          <w:rFonts w:ascii="Times New Roman" w:hAnsi="Times New Roman" w:cs="Times New Roman"/>
        </w:rPr>
        <w:t xml:space="preserve">Летонија, </w:t>
      </w:r>
      <w:r>
        <w:rPr>
          <w:rFonts w:ascii="Times New Roman" w:hAnsi="Times New Roman" w:cs="Times New Roman"/>
          <w:lang w:val="sr-Cyrl-RS"/>
        </w:rPr>
        <w:t xml:space="preserve">Република </w:t>
      </w:r>
      <w:r w:rsidRPr="00C05465">
        <w:rPr>
          <w:rFonts w:ascii="Times New Roman" w:hAnsi="Times New Roman" w:cs="Times New Roman"/>
        </w:rPr>
        <w:t xml:space="preserve">Литванија, </w:t>
      </w:r>
      <w:r>
        <w:rPr>
          <w:rFonts w:ascii="Times New Roman" w:hAnsi="Times New Roman" w:cs="Times New Roman"/>
          <w:lang w:val="sr-Cyrl-RS"/>
        </w:rPr>
        <w:t xml:space="preserve">Велико Војводство </w:t>
      </w:r>
      <w:r w:rsidRPr="00C05465">
        <w:rPr>
          <w:rFonts w:ascii="Times New Roman" w:hAnsi="Times New Roman" w:cs="Times New Roman"/>
        </w:rPr>
        <w:t>Луксембург, Словачка</w:t>
      </w:r>
      <w:r>
        <w:rPr>
          <w:rFonts w:ascii="Times New Roman" w:hAnsi="Times New Roman" w:cs="Times New Roman"/>
          <w:lang w:val="sr-Cyrl-RS"/>
        </w:rPr>
        <w:t xml:space="preserve"> Република</w:t>
      </w:r>
      <w:r w:rsidRPr="00C05465">
        <w:rPr>
          <w:rFonts w:ascii="Times New Roman" w:hAnsi="Times New Roman" w:cs="Times New Roman"/>
        </w:rPr>
        <w:t xml:space="preserve">, </w:t>
      </w:r>
      <w:r>
        <w:rPr>
          <w:rFonts w:ascii="Times New Roman" w:hAnsi="Times New Roman" w:cs="Times New Roman"/>
          <w:lang w:val="sr-Cyrl-RS"/>
        </w:rPr>
        <w:t xml:space="preserve">Краљевина </w:t>
      </w:r>
      <w:r w:rsidRPr="00C05465">
        <w:rPr>
          <w:rFonts w:ascii="Times New Roman" w:hAnsi="Times New Roman" w:cs="Times New Roman"/>
        </w:rPr>
        <w:t>Шпанија</w:t>
      </w:r>
    </w:p>
  </w:footnote>
  <w:footnote w:id="37">
    <w:p w14:paraId="32069CB2" w14:textId="428ABCF3" w:rsidR="00FF3B8A" w:rsidRPr="00C05465" w:rsidRDefault="00FF3B8A" w:rsidP="008E4F38">
      <w:pPr>
        <w:pStyle w:val="FootnoteText"/>
        <w:jc w:val="both"/>
        <w:rPr>
          <w:rFonts w:ascii="Times New Roman" w:hAnsi="Times New Roman" w:cs="Times New Roman"/>
          <w:lang w:val="sr-Cyrl-RS"/>
        </w:rPr>
      </w:pPr>
      <w:r>
        <w:rPr>
          <w:rStyle w:val="FootnoteReference"/>
        </w:rPr>
        <w:footnoteRef/>
      </w:r>
      <w:r>
        <w:t xml:space="preserve"> </w:t>
      </w:r>
      <w:r w:rsidRPr="00C05465">
        <w:rPr>
          <w:rFonts w:ascii="Times New Roman" w:hAnsi="Times New Roman" w:cs="Times New Roman"/>
          <w:lang w:val="sr-Cyrl-RS"/>
        </w:rPr>
        <w:t>Н</w:t>
      </w:r>
      <w:r w:rsidRPr="00C05465">
        <w:rPr>
          <w:rFonts w:ascii="Times New Roman" w:hAnsi="Times New Roman" w:cs="Times New Roman"/>
        </w:rPr>
        <w:t xml:space="preserve">иво ЕУ, </w:t>
      </w:r>
      <w:r>
        <w:rPr>
          <w:rFonts w:ascii="Times New Roman" w:hAnsi="Times New Roman" w:cs="Times New Roman"/>
          <w:lang w:val="sr-Cyrl-RS"/>
        </w:rPr>
        <w:t xml:space="preserve">Република </w:t>
      </w:r>
      <w:r w:rsidRPr="00C05465">
        <w:rPr>
          <w:rFonts w:ascii="Times New Roman" w:hAnsi="Times New Roman" w:cs="Times New Roman"/>
        </w:rPr>
        <w:t xml:space="preserve">Аустрија, </w:t>
      </w:r>
      <w:r>
        <w:rPr>
          <w:rFonts w:ascii="Times New Roman" w:hAnsi="Times New Roman" w:cs="Times New Roman"/>
          <w:lang w:val="sr-Cyrl-RS"/>
        </w:rPr>
        <w:t xml:space="preserve">Савезна Република </w:t>
      </w:r>
      <w:r w:rsidRPr="00C05465">
        <w:rPr>
          <w:rFonts w:ascii="Times New Roman" w:hAnsi="Times New Roman" w:cs="Times New Roman"/>
        </w:rPr>
        <w:t xml:space="preserve">Немачка, Мађарска, </w:t>
      </w:r>
      <w:r>
        <w:rPr>
          <w:rFonts w:ascii="Times New Roman" w:hAnsi="Times New Roman" w:cs="Times New Roman"/>
          <w:lang w:val="sr-Cyrl-RS"/>
        </w:rPr>
        <w:t xml:space="preserve">Република </w:t>
      </w:r>
      <w:r w:rsidRPr="00C05465">
        <w:rPr>
          <w:rFonts w:ascii="Times New Roman" w:hAnsi="Times New Roman" w:cs="Times New Roman"/>
        </w:rPr>
        <w:t xml:space="preserve">Италија, </w:t>
      </w:r>
      <w:r>
        <w:rPr>
          <w:rFonts w:ascii="Times New Roman" w:hAnsi="Times New Roman" w:cs="Times New Roman"/>
          <w:lang w:val="sr-Cyrl-RS"/>
        </w:rPr>
        <w:t xml:space="preserve">Република </w:t>
      </w:r>
      <w:r w:rsidRPr="00C05465">
        <w:rPr>
          <w:rFonts w:ascii="Times New Roman" w:hAnsi="Times New Roman" w:cs="Times New Roman"/>
        </w:rPr>
        <w:t xml:space="preserve">Летонија, </w:t>
      </w:r>
      <w:r>
        <w:rPr>
          <w:rFonts w:ascii="Times New Roman" w:hAnsi="Times New Roman" w:cs="Times New Roman"/>
          <w:lang w:val="sr-Cyrl-RS"/>
        </w:rPr>
        <w:t xml:space="preserve">Краљевина </w:t>
      </w:r>
      <w:r w:rsidRPr="00C05465">
        <w:rPr>
          <w:rFonts w:ascii="Times New Roman" w:hAnsi="Times New Roman" w:cs="Times New Roman"/>
        </w:rPr>
        <w:t xml:space="preserve">Холандија, </w:t>
      </w:r>
      <w:r>
        <w:rPr>
          <w:rFonts w:ascii="Times New Roman" w:hAnsi="Times New Roman" w:cs="Times New Roman"/>
          <w:lang w:val="sr-Cyrl-RS"/>
        </w:rPr>
        <w:t xml:space="preserve">Република </w:t>
      </w:r>
      <w:r w:rsidRPr="00C05465">
        <w:rPr>
          <w:rFonts w:ascii="Times New Roman" w:hAnsi="Times New Roman" w:cs="Times New Roman"/>
        </w:rPr>
        <w:t xml:space="preserve">Хрватска, </w:t>
      </w:r>
      <w:r>
        <w:rPr>
          <w:rFonts w:ascii="Times New Roman" w:hAnsi="Times New Roman" w:cs="Times New Roman"/>
          <w:lang w:val="sr-Cyrl-RS"/>
        </w:rPr>
        <w:t xml:space="preserve">Република </w:t>
      </w:r>
      <w:r w:rsidRPr="00C05465">
        <w:rPr>
          <w:rFonts w:ascii="Times New Roman" w:hAnsi="Times New Roman" w:cs="Times New Roman"/>
        </w:rPr>
        <w:t>Португал</w:t>
      </w:r>
      <w:r>
        <w:rPr>
          <w:rFonts w:ascii="Times New Roman" w:hAnsi="Times New Roman" w:cs="Times New Roman"/>
          <w:lang w:val="sr-Cyrl-RS"/>
        </w:rPr>
        <w:t>ија</w:t>
      </w:r>
      <w:r w:rsidRPr="00C05465">
        <w:rPr>
          <w:rFonts w:ascii="Times New Roman" w:hAnsi="Times New Roman" w:cs="Times New Roman"/>
        </w:rPr>
        <w:t xml:space="preserve">, </w:t>
      </w:r>
      <w:r>
        <w:rPr>
          <w:rFonts w:ascii="Times New Roman" w:hAnsi="Times New Roman" w:cs="Times New Roman"/>
          <w:lang w:val="sr-Cyrl-RS"/>
        </w:rPr>
        <w:t xml:space="preserve">Краљевина </w:t>
      </w:r>
      <w:r w:rsidRPr="00205521">
        <w:rPr>
          <w:rFonts w:ascii="Times New Roman" w:hAnsi="Times New Roman" w:cs="Times New Roman"/>
        </w:rPr>
        <w:t>Шпанија</w:t>
      </w:r>
    </w:p>
  </w:footnote>
  <w:footnote w:id="38">
    <w:p w14:paraId="42B63400" w14:textId="77777777" w:rsidR="00FF3B8A" w:rsidRPr="00582E96" w:rsidRDefault="00FF3B8A" w:rsidP="00A674CA">
      <w:pPr>
        <w:pStyle w:val="FootnoteText"/>
        <w:jc w:val="both"/>
        <w:rPr>
          <w:rFonts w:ascii="Times New Roman" w:hAnsi="Times New Roman" w:cs="Times New Roman"/>
          <w:lang w:val="sr-Cyrl-RS"/>
        </w:rPr>
      </w:pPr>
      <w:r>
        <w:rPr>
          <w:rStyle w:val="FootnoteReference"/>
        </w:rPr>
        <w:footnoteRef/>
      </w:r>
      <w:r>
        <w:t xml:space="preserve"> </w:t>
      </w:r>
      <w:r w:rsidRPr="00C05465">
        <w:rPr>
          <w:rFonts w:ascii="Times New Roman" w:hAnsi="Times New Roman" w:cs="Times New Roman"/>
          <w:lang w:val="sr-Cyrl-RS"/>
        </w:rPr>
        <w:t>Н</w:t>
      </w:r>
      <w:r w:rsidRPr="00C05465">
        <w:rPr>
          <w:rFonts w:ascii="Times New Roman" w:hAnsi="Times New Roman" w:cs="Times New Roman"/>
        </w:rPr>
        <w:t xml:space="preserve">иво ЕУ, </w:t>
      </w:r>
      <w:r>
        <w:rPr>
          <w:rFonts w:ascii="Times New Roman" w:hAnsi="Times New Roman" w:cs="Times New Roman"/>
          <w:lang w:val="sr-Cyrl-RS"/>
        </w:rPr>
        <w:t xml:space="preserve">Република </w:t>
      </w:r>
      <w:r w:rsidRPr="00C05465">
        <w:rPr>
          <w:rFonts w:ascii="Times New Roman" w:hAnsi="Times New Roman" w:cs="Times New Roman"/>
        </w:rPr>
        <w:t>Финска, Француска</w:t>
      </w:r>
      <w:r>
        <w:rPr>
          <w:rFonts w:ascii="Times New Roman" w:hAnsi="Times New Roman" w:cs="Times New Roman"/>
          <w:lang w:val="sr-Cyrl-RS"/>
        </w:rPr>
        <w:t xml:space="preserve"> Република</w:t>
      </w:r>
      <w:r w:rsidRPr="00C05465">
        <w:rPr>
          <w:rFonts w:ascii="Times New Roman" w:hAnsi="Times New Roman" w:cs="Times New Roman"/>
        </w:rPr>
        <w:t xml:space="preserve">, </w:t>
      </w:r>
      <w:r>
        <w:rPr>
          <w:rFonts w:ascii="Times New Roman" w:hAnsi="Times New Roman" w:cs="Times New Roman"/>
          <w:lang w:val="sr-Cyrl-RS"/>
        </w:rPr>
        <w:t xml:space="preserve">Република </w:t>
      </w:r>
      <w:r w:rsidRPr="00C05465">
        <w:rPr>
          <w:rFonts w:ascii="Times New Roman" w:hAnsi="Times New Roman" w:cs="Times New Roman"/>
        </w:rPr>
        <w:t>Италија,</w:t>
      </w:r>
      <w:r>
        <w:rPr>
          <w:rFonts w:ascii="Times New Roman" w:hAnsi="Times New Roman" w:cs="Times New Roman"/>
          <w:lang w:val="sr-Cyrl-RS"/>
        </w:rPr>
        <w:t xml:space="preserve"> Република </w:t>
      </w:r>
      <w:r w:rsidRPr="00C05465">
        <w:rPr>
          <w:rFonts w:ascii="Times New Roman" w:hAnsi="Times New Roman" w:cs="Times New Roman"/>
        </w:rPr>
        <w:t>Летонија, Словачка</w:t>
      </w:r>
      <w:r>
        <w:rPr>
          <w:rFonts w:ascii="Times New Roman" w:hAnsi="Times New Roman" w:cs="Times New Roman"/>
          <w:lang w:val="sr-Cyrl-RS"/>
        </w:rPr>
        <w:t xml:space="preserve"> Република</w:t>
      </w:r>
    </w:p>
  </w:footnote>
  <w:footnote w:id="39">
    <w:p w14:paraId="62F5CDF2" w14:textId="77777777" w:rsidR="00FF3B8A" w:rsidRPr="00C05465" w:rsidRDefault="00FF3B8A" w:rsidP="00A674CA">
      <w:pPr>
        <w:pStyle w:val="FootnoteText"/>
        <w:jc w:val="both"/>
        <w:rPr>
          <w:rFonts w:ascii="Times New Roman" w:hAnsi="Times New Roman" w:cs="Times New Roman"/>
          <w:lang w:val="sr-Cyrl-RS"/>
        </w:rPr>
      </w:pPr>
      <w:r>
        <w:rPr>
          <w:rStyle w:val="FootnoteReference"/>
        </w:rPr>
        <w:footnoteRef/>
      </w:r>
      <w:r>
        <w:t xml:space="preserve"> </w:t>
      </w:r>
      <w:r w:rsidRPr="00B441E7">
        <w:rPr>
          <w:rFonts w:ascii="Times New Roman" w:hAnsi="Times New Roman" w:cs="Times New Roman"/>
          <w:lang w:val="sr-Cyrl-RS"/>
        </w:rPr>
        <w:t>Република</w:t>
      </w:r>
      <w:r>
        <w:rPr>
          <w:lang w:val="sr-Cyrl-RS"/>
        </w:rPr>
        <w:t xml:space="preserve"> </w:t>
      </w:r>
      <w:r w:rsidRPr="00C05465">
        <w:rPr>
          <w:rFonts w:ascii="Times New Roman" w:hAnsi="Times New Roman" w:cs="Times New Roman"/>
        </w:rPr>
        <w:t xml:space="preserve">Финска, </w:t>
      </w:r>
      <w:r>
        <w:rPr>
          <w:rFonts w:ascii="Times New Roman" w:hAnsi="Times New Roman" w:cs="Times New Roman"/>
          <w:lang w:val="sr-Cyrl-RS"/>
        </w:rPr>
        <w:t xml:space="preserve">Краљевина </w:t>
      </w:r>
      <w:r w:rsidRPr="00C05465">
        <w:rPr>
          <w:rFonts w:ascii="Times New Roman" w:hAnsi="Times New Roman" w:cs="Times New Roman"/>
        </w:rPr>
        <w:t>Шведска, Чешка</w:t>
      </w:r>
      <w:r>
        <w:rPr>
          <w:rFonts w:ascii="Times New Roman" w:hAnsi="Times New Roman" w:cs="Times New Roman"/>
          <w:lang w:val="sr-Cyrl-RS"/>
        </w:rPr>
        <w:t xml:space="preserve"> Република</w:t>
      </w:r>
      <w:r w:rsidRPr="00C05465">
        <w:rPr>
          <w:rFonts w:ascii="Times New Roman" w:hAnsi="Times New Roman" w:cs="Times New Roman"/>
        </w:rPr>
        <w:t xml:space="preserve">, Пољска, </w:t>
      </w:r>
      <w:r>
        <w:rPr>
          <w:rFonts w:ascii="Times New Roman" w:hAnsi="Times New Roman" w:cs="Times New Roman"/>
          <w:lang w:val="sr-Cyrl-RS"/>
        </w:rPr>
        <w:t xml:space="preserve">Краљевина </w:t>
      </w:r>
      <w:r w:rsidRPr="00C05465">
        <w:rPr>
          <w:rFonts w:ascii="Times New Roman" w:hAnsi="Times New Roman" w:cs="Times New Roman"/>
        </w:rPr>
        <w:t>Холандија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27"/>
    <w:multiLevelType w:val="hybridMultilevel"/>
    <w:tmpl w:val="F79A61D6"/>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AB325D"/>
    <w:multiLevelType w:val="hybridMultilevel"/>
    <w:tmpl w:val="AB6AA96A"/>
    <w:lvl w:ilvl="0" w:tplc="9B2EB60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2588C"/>
    <w:multiLevelType w:val="hybridMultilevel"/>
    <w:tmpl w:val="54E8C306"/>
    <w:lvl w:ilvl="0" w:tplc="7946FF1E">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7817"/>
    <w:multiLevelType w:val="hybridMultilevel"/>
    <w:tmpl w:val="5436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E2FD1"/>
    <w:multiLevelType w:val="hybridMultilevel"/>
    <w:tmpl w:val="B5CE24D0"/>
    <w:lvl w:ilvl="0" w:tplc="422857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54A35"/>
    <w:multiLevelType w:val="hybridMultilevel"/>
    <w:tmpl w:val="4D26443E"/>
    <w:lvl w:ilvl="0" w:tplc="F9F00204">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4D4671"/>
    <w:multiLevelType w:val="hybridMultilevel"/>
    <w:tmpl w:val="D0946EA0"/>
    <w:lvl w:ilvl="0" w:tplc="C852A382">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89D6EC1"/>
    <w:multiLevelType w:val="hybridMultilevel"/>
    <w:tmpl w:val="4F3C3A42"/>
    <w:lvl w:ilvl="0" w:tplc="4886B434">
      <w:start w:val="1"/>
      <w:numFmt w:val="bullet"/>
      <w:lvlText w:val="•"/>
      <w:lvlJc w:val="left"/>
      <w:pPr>
        <w:tabs>
          <w:tab w:val="num" w:pos="720"/>
        </w:tabs>
        <w:ind w:left="720" w:hanging="360"/>
      </w:pPr>
      <w:rPr>
        <w:rFonts w:ascii="Times New Roman" w:hAnsi="Times New Roman" w:hint="default"/>
      </w:rPr>
    </w:lvl>
    <w:lvl w:ilvl="1" w:tplc="E4E2482E" w:tentative="1">
      <w:start w:val="1"/>
      <w:numFmt w:val="bullet"/>
      <w:lvlText w:val="•"/>
      <w:lvlJc w:val="left"/>
      <w:pPr>
        <w:tabs>
          <w:tab w:val="num" w:pos="1440"/>
        </w:tabs>
        <w:ind w:left="1440" w:hanging="360"/>
      </w:pPr>
      <w:rPr>
        <w:rFonts w:ascii="Times New Roman" w:hAnsi="Times New Roman" w:hint="default"/>
      </w:rPr>
    </w:lvl>
    <w:lvl w:ilvl="2" w:tplc="6BE46CEE" w:tentative="1">
      <w:start w:val="1"/>
      <w:numFmt w:val="bullet"/>
      <w:lvlText w:val="•"/>
      <w:lvlJc w:val="left"/>
      <w:pPr>
        <w:tabs>
          <w:tab w:val="num" w:pos="2160"/>
        </w:tabs>
        <w:ind w:left="2160" w:hanging="360"/>
      </w:pPr>
      <w:rPr>
        <w:rFonts w:ascii="Times New Roman" w:hAnsi="Times New Roman" w:hint="default"/>
      </w:rPr>
    </w:lvl>
    <w:lvl w:ilvl="3" w:tplc="48124C2C" w:tentative="1">
      <w:start w:val="1"/>
      <w:numFmt w:val="bullet"/>
      <w:lvlText w:val="•"/>
      <w:lvlJc w:val="left"/>
      <w:pPr>
        <w:tabs>
          <w:tab w:val="num" w:pos="2880"/>
        </w:tabs>
        <w:ind w:left="2880" w:hanging="360"/>
      </w:pPr>
      <w:rPr>
        <w:rFonts w:ascii="Times New Roman" w:hAnsi="Times New Roman" w:hint="default"/>
      </w:rPr>
    </w:lvl>
    <w:lvl w:ilvl="4" w:tplc="C694A42A" w:tentative="1">
      <w:start w:val="1"/>
      <w:numFmt w:val="bullet"/>
      <w:lvlText w:val="•"/>
      <w:lvlJc w:val="left"/>
      <w:pPr>
        <w:tabs>
          <w:tab w:val="num" w:pos="3600"/>
        </w:tabs>
        <w:ind w:left="3600" w:hanging="360"/>
      </w:pPr>
      <w:rPr>
        <w:rFonts w:ascii="Times New Roman" w:hAnsi="Times New Roman" w:hint="default"/>
      </w:rPr>
    </w:lvl>
    <w:lvl w:ilvl="5" w:tplc="84D2E344" w:tentative="1">
      <w:start w:val="1"/>
      <w:numFmt w:val="bullet"/>
      <w:lvlText w:val="•"/>
      <w:lvlJc w:val="left"/>
      <w:pPr>
        <w:tabs>
          <w:tab w:val="num" w:pos="4320"/>
        </w:tabs>
        <w:ind w:left="4320" w:hanging="360"/>
      </w:pPr>
      <w:rPr>
        <w:rFonts w:ascii="Times New Roman" w:hAnsi="Times New Roman" w:hint="default"/>
      </w:rPr>
    </w:lvl>
    <w:lvl w:ilvl="6" w:tplc="6DE439B6" w:tentative="1">
      <w:start w:val="1"/>
      <w:numFmt w:val="bullet"/>
      <w:lvlText w:val="•"/>
      <w:lvlJc w:val="left"/>
      <w:pPr>
        <w:tabs>
          <w:tab w:val="num" w:pos="5040"/>
        </w:tabs>
        <w:ind w:left="5040" w:hanging="360"/>
      </w:pPr>
      <w:rPr>
        <w:rFonts w:ascii="Times New Roman" w:hAnsi="Times New Roman" w:hint="default"/>
      </w:rPr>
    </w:lvl>
    <w:lvl w:ilvl="7" w:tplc="76029D66" w:tentative="1">
      <w:start w:val="1"/>
      <w:numFmt w:val="bullet"/>
      <w:lvlText w:val="•"/>
      <w:lvlJc w:val="left"/>
      <w:pPr>
        <w:tabs>
          <w:tab w:val="num" w:pos="5760"/>
        </w:tabs>
        <w:ind w:left="5760" w:hanging="360"/>
      </w:pPr>
      <w:rPr>
        <w:rFonts w:ascii="Times New Roman" w:hAnsi="Times New Roman" w:hint="default"/>
      </w:rPr>
    </w:lvl>
    <w:lvl w:ilvl="8" w:tplc="E702D4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EC249E"/>
    <w:multiLevelType w:val="hybridMultilevel"/>
    <w:tmpl w:val="6B5074B4"/>
    <w:lvl w:ilvl="0" w:tplc="362C8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A7681"/>
    <w:multiLevelType w:val="multilevel"/>
    <w:tmpl w:val="E774039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0715AB"/>
    <w:multiLevelType w:val="hybridMultilevel"/>
    <w:tmpl w:val="064272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22FC2"/>
    <w:multiLevelType w:val="hybridMultilevel"/>
    <w:tmpl w:val="5F7A4470"/>
    <w:lvl w:ilvl="0" w:tplc="C852A382">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C05CCB"/>
    <w:multiLevelType w:val="hybridMultilevel"/>
    <w:tmpl w:val="3F46C7AA"/>
    <w:lvl w:ilvl="0" w:tplc="AC92DAB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7783900"/>
    <w:multiLevelType w:val="hybridMultilevel"/>
    <w:tmpl w:val="C75A50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7A14A7D"/>
    <w:multiLevelType w:val="multilevel"/>
    <w:tmpl w:val="D0AE63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8E7D6A"/>
    <w:multiLevelType w:val="hybridMultilevel"/>
    <w:tmpl w:val="A294961A"/>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710B02"/>
    <w:multiLevelType w:val="hybridMultilevel"/>
    <w:tmpl w:val="EEAE3164"/>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C5FB8"/>
    <w:multiLevelType w:val="hybridMultilevel"/>
    <w:tmpl w:val="55342378"/>
    <w:lvl w:ilvl="0" w:tplc="A318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E6116B"/>
    <w:multiLevelType w:val="multilevel"/>
    <w:tmpl w:val="CE866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4B16ACD"/>
    <w:multiLevelType w:val="multilevel"/>
    <w:tmpl w:val="3112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B7105"/>
    <w:multiLevelType w:val="hybridMultilevel"/>
    <w:tmpl w:val="2B4E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25D65"/>
    <w:multiLevelType w:val="hybridMultilevel"/>
    <w:tmpl w:val="76947018"/>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F42BF"/>
    <w:multiLevelType w:val="multilevel"/>
    <w:tmpl w:val="ACC466B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C776F4"/>
    <w:multiLevelType w:val="hybridMultilevel"/>
    <w:tmpl w:val="81D2EE58"/>
    <w:lvl w:ilvl="0" w:tplc="C852A382">
      <w:numFmt w:val="bullet"/>
      <w:lvlText w:val="-"/>
      <w:lvlJc w:val="left"/>
      <w:pPr>
        <w:ind w:left="720" w:hanging="360"/>
      </w:pPr>
      <w:rPr>
        <w:rFonts w:ascii="Times New Roman" w:eastAsiaTheme="minorHAnsi" w:hAnsi="Times New Roman" w:cs="Times New Roman" w:hint="default"/>
      </w:rPr>
    </w:lvl>
    <w:lvl w:ilvl="1" w:tplc="C852A382">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62994"/>
    <w:multiLevelType w:val="hybridMultilevel"/>
    <w:tmpl w:val="47AE3066"/>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DB4BB4"/>
    <w:multiLevelType w:val="hybridMultilevel"/>
    <w:tmpl w:val="77461F94"/>
    <w:lvl w:ilvl="0" w:tplc="EA2411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D1ACA"/>
    <w:multiLevelType w:val="hybridMultilevel"/>
    <w:tmpl w:val="6444E42C"/>
    <w:lvl w:ilvl="0" w:tplc="08090013">
      <w:start w:val="1"/>
      <w:numFmt w:val="upperRoman"/>
      <w:lvlText w:val="%1."/>
      <w:lvlJc w:val="right"/>
      <w:pPr>
        <w:ind w:left="720" w:hanging="360"/>
      </w:pPr>
    </w:lvl>
    <w:lvl w:ilvl="1" w:tplc="117C3854">
      <w:start w:val="1"/>
      <w:numFmt w:val="decimal"/>
      <w:lvlText w:val="%2."/>
      <w:lvlJc w:val="left"/>
      <w:pPr>
        <w:ind w:left="1980" w:hanging="90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A20280"/>
    <w:multiLevelType w:val="hybridMultilevel"/>
    <w:tmpl w:val="C4602838"/>
    <w:lvl w:ilvl="0" w:tplc="FFFFFFFF">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511C5F"/>
    <w:multiLevelType w:val="hybridMultilevel"/>
    <w:tmpl w:val="1B6C4A02"/>
    <w:lvl w:ilvl="0" w:tplc="5B564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8D459D"/>
    <w:multiLevelType w:val="hybridMultilevel"/>
    <w:tmpl w:val="969C56C8"/>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FB396F"/>
    <w:multiLevelType w:val="hybridMultilevel"/>
    <w:tmpl w:val="21C633A6"/>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7419C"/>
    <w:multiLevelType w:val="hybridMultilevel"/>
    <w:tmpl w:val="5E0E92AE"/>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8024A"/>
    <w:multiLevelType w:val="hybridMultilevel"/>
    <w:tmpl w:val="00146F2E"/>
    <w:lvl w:ilvl="0" w:tplc="04090001">
      <w:start w:val="1"/>
      <w:numFmt w:val="bullet"/>
      <w:lvlText w:val=""/>
      <w:lvlJc w:val="left"/>
      <w:pPr>
        <w:ind w:left="720" w:hanging="360"/>
      </w:pPr>
      <w:rPr>
        <w:rFonts w:ascii="Symbol" w:hAnsi="Symbol" w:hint="default"/>
      </w:rPr>
    </w:lvl>
    <w:lvl w:ilvl="1" w:tplc="C4904C84">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D506C"/>
    <w:multiLevelType w:val="hybridMultilevel"/>
    <w:tmpl w:val="F7FAEF52"/>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2BC3"/>
    <w:multiLevelType w:val="hybridMultilevel"/>
    <w:tmpl w:val="2FF64F8C"/>
    <w:lvl w:ilvl="0" w:tplc="F9F00204">
      <w:start w:val="3"/>
      <w:numFmt w:val="bullet"/>
      <w:lvlText w:val="•"/>
      <w:lvlJc w:val="left"/>
      <w:pPr>
        <w:ind w:left="1134" w:hanging="360"/>
      </w:pPr>
      <w:rPr>
        <w:rFonts w:ascii="Arial" w:eastAsiaTheme="minorHAnsi" w:hAnsi="Arial" w:cs="Aria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5" w15:restartNumberingAfterBreak="0">
    <w:nsid w:val="68E02010"/>
    <w:multiLevelType w:val="hybridMultilevel"/>
    <w:tmpl w:val="E5188B78"/>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0F2217"/>
    <w:multiLevelType w:val="hybridMultilevel"/>
    <w:tmpl w:val="EDB82D0E"/>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E4D81"/>
    <w:multiLevelType w:val="hybridMultilevel"/>
    <w:tmpl w:val="C14E88CA"/>
    <w:lvl w:ilvl="0" w:tplc="1D0CA2C4">
      <w:start w:val="1"/>
      <w:numFmt w:val="upperRoman"/>
      <w:lvlText w:val="%1."/>
      <w:lvlJc w:val="left"/>
      <w:pPr>
        <w:ind w:left="1152" w:hanging="720"/>
      </w:pPr>
      <w:rPr>
        <w:rFonts w:ascii="Times New Roman" w:hAnsi="Times New Roman" w:cs="Times New Roman" w:hint="default"/>
        <w:color w:val="000000" w:themeColor="text1"/>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E421845"/>
    <w:multiLevelType w:val="hybridMultilevel"/>
    <w:tmpl w:val="67CC629E"/>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C2C0E"/>
    <w:multiLevelType w:val="hybridMultilevel"/>
    <w:tmpl w:val="A13C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47412"/>
    <w:multiLevelType w:val="hybridMultilevel"/>
    <w:tmpl w:val="055E67CC"/>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52A07"/>
    <w:multiLevelType w:val="hybridMultilevel"/>
    <w:tmpl w:val="19484524"/>
    <w:lvl w:ilvl="0" w:tplc="28886268">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E463AD"/>
    <w:multiLevelType w:val="multilevel"/>
    <w:tmpl w:val="440E391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CC60C0D"/>
    <w:multiLevelType w:val="hybridMultilevel"/>
    <w:tmpl w:val="16B44EF2"/>
    <w:lvl w:ilvl="0" w:tplc="C852A3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672C4"/>
    <w:multiLevelType w:val="hybridMultilevel"/>
    <w:tmpl w:val="157A422E"/>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CF0EEA"/>
    <w:multiLevelType w:val="hybridMultilevel"/>
    <w:tmpl w:val="3110A002"/>
    <w:lvl w:ilvl="0" w:tplc="C852A3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5E040F"/>
    <w:multiLevelType w:val="hybridMultilevel"/>
    <w:tmpl w:val="C44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667076">
    <w:abstractNumId w:val="8"/>
  </w:num>
  <w:num w:numId="2" w16cid:durableId="840387507">
    <w:abstractNumId w:val="10"/>
  </w:num>
  <w:num w:numId="3" w16cid:durableId="336006892">
    <w:abstractNumId w:val="17"/>
  </w:num>
  <w:num w:numId="4" w16cid:durableId="9574150">
    <w:abstractNumId w:val="28"/>
  </w:num>
  <w:num w:numId="5" w16cid:durableId="2061244153">
    <w:abstractNumId w:val="1"/>
  </w:num>
  <w:num w:numId="6" w16cid:durableId="258220192">
    <w:abstractNumId w:val="23"/>
  </w:num>
  <w:num w:numId="7" w16cid:durableId="894702894">
    <w:abstractNumId w:val="31"/>
  </w:num>
  <w:num w:numId="8" w16cid:durableId="1865052151">
    <w:abstractNumId w:val="33"/>
  </w:num>
  <w:num w:numId="9" w16cid:durableId="1190293679">
    <w:abstractNumId w:val="38"/>
  </w:num>
  <w:num w:numId="10" w16cid:durableId="1695888808">
    <w:abstractNumId w:val="3"/>
  </w:num>
  <w:num w:numId="11" w16cid:durableId="1241792620">
    <w:abstractNumId w:val="7"/>
  </w:num>
  <w:num w:numId="12" w16cid:durableId="1551189491">
    <w:abstractNumId w:val="36"/>
  </w:num>
  <w:num w:numId="13" w16cid:durableId="368533559">
    <w:abstractNumId w:val="26"/>
  </w:num>
  <w:num w:numId="14" w16cid:durableId="1336034258">
    <w:abstractNumId w:val="43"/>
  </w:num>
  <w:num w:numId="15" w16cid:durableId="2052415758">
    <w:abstractNumId w:val="27"/>
  </w:num>
  <w:num w:numId="16" w16cid:durableId="1222446622">
    <w:abstractNumId w:val="12"/>
  </w:num>
  <w:num w:numId="17" w16cid:durableId="835265160">
    <w:abstractNumId w:val="2"/>
  </w:num>
  <w:num w:numId="18" w16cid:durableId="1530726299">
    <w:abstractNumId w:val="16"/>
  </w:num>
  <w:num w:numId="19" w16cid:durableId="1402799604">
    <w:abstractNumId w:val="30"/>
  </w:num>
  <w:num w:numId="20" w16cid:durableId="814488813">
    <w:abstractNumId w:val="21"/>
  </w:num>
  <w:num w:numId="21" w16cid:durableId="567885519">
    <w:abstractNumId w:val="4"/>
  </w:num>
  <w:num w:numId="22" w16cid:durableId="378483315">
    <w:abstractNumId w:val="9"/>
  </w:num>
  <w:num w:numId="23" w16cid:durableId="1512909902">
    <w:abstractNumId w:val="18"/>
  </w:num>
  <w:num w:numId="24" w16cid:durableId="136000782">
    <w:abstractNumId w:val="39"/>
  </w:num>
  <w:num w:numId="25" w16cid:durableId="1604654734">
    <w:abstractNumId w:val="32"/>
  </w:num>
  <w:num w:numId="26" w16cid:durableId="618802612">
    <w:abstractNumId w:val="41"/>
  </w:num>
  <w:num w:numId="27" w16cid:durableId="2052529649">
    <w:abstractNumId w:val="9"/>
    <w:lvlOverride w:ilvl="0">
      <w:startOverride w:val="1"/>
    </w:lvlOverride>
  </w:num>
  <w:num w:numId="28" w16cid:durableId="878080885">
    <w:abstractNumId w:val="9"/>
  </w:num>
  <w:num w:numId="29" w16cid:durableId="1621185127">
    <w:abstractNumId w:val="40"/>
  </w:num>
  <w:num w:numId="30" w16cid:durableId="428741136">
    <w:abstractNumId w:val="20"/>
  </w:num>
  <w:num w:numId="31" w16cid:durableId="330376943">
    <w:abstractNumId w:val="5"/>
  </w:num>
  <w:num w:numId="32" w16cid:durableId="1505321185">
    <w:abstractNumId w:val="34"/>
  </w:num>
  <w:num w:numId="33" w16cid:durableId="1366057379">
    <w:abstractNumId w:val="25"/>
  </w:num>
  <w:num w:numId="34" w16cid:durableId="830684374">
    <w:abstractNumId w:val="22"/>
  </w:num>
  <w:num w:numId="35" w16cid:durableId="600265169">
    <w:abstractNumId w:val="9"/>
  </w:num>
  <w:num w:numId="36" w16cid:durableId="1062481246">
    <w:abstractNumId w:val="9"/>
  </w:num>
  <w:num w:numId="37" w16cid:durableId="2000185996">
    <w:abstractNumId w:val="9"/>
  </w:num>
  <w:num w:numId="38" w16cid:durableId="1044907045">
    <w:abstractNumId w:val="9"/>
  </w:num>
  <w:num w:numId="39" w16cid:durableId="1959800618">
    <w:abstractNumId w:val="46"/>
  </w:num>
  <w:num w:numId="40" w16cid:durableId="1302155252">
    <w:abstractNumId w:val="37"/>
  </w:num>
  <w:num w:numId="41" w16cid:durableId="940454164">
    <w:abstractNumId w:val="9"/>
  </w:num>
  <w:num w:numId="42" w16cid:durableId="1484589882">
    <w:abstractNumId w:val="6"/>
  </w:num>
  <w:num w:numId="43" w16cid:durableId="1819806417">
    <w:abstractNumId w:val="44"/>
  </w:num>
  <w:num w:numId="44" w16cid:durableId="906914575">
    <w:abstractNumId w:val="45"/>
  </w:num>
  <w:num w:numId="45" w16cid:durableId="2142768075">
    <w:abstractNumId w:val="0"/>
  </w:num>
  <w:num w:numId="46" w16cid:durableId="1966038551">
    <w:abstractNumId w:val="35"/>
  </w:num>
  <w:num w:numId="47" w16cid:durableId="1193769339">
    <w:abstractNumId w:val="29"/>
  </w:num>
  <w:num w:numId="48" w16cid:durableId="950669186">
    <w:abstractNumId w:val="24"/>
  </w:num>
  <w:num w:numId="49" w16cid:durableId="1045789139">
    <w:abstractNumId w:val="15"/>
  </w:num>
  <w:num w:numId="50" w16cid:durableId="391083457">
    <w:abstractNumId w:val="11"/>
  </w:num>
  <w:num w:numId="51" w16cid:durableId="1330672781">
    <w:abstractNumId w:val="13"/>
  </w:num>
  <w:num w:numId="52" w16cid:durableId="1866164023">
    <w:abstractNumId w:val="19"/>
  </w:num>
  <w:num w:numId="53" w16cid:durableId="4599012">
    <w:abstractNumId w:val="42"/>
  </w:num>
  <w:num w:numId="54" w16cid:durableId="206132588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F2"/>
    <w:rsid w:val="000011A9"/>
    <w:rsid w:val="00001A4C"/>
    <w:rsid w:val="00002812"/>
    <w:rsid w:val="00003A9C"/>
    <w:rsid w:val="00005B77"/>
    <w:rsid w:val="000126CA"/>
    <w:rsid w:val="00013DB3"/>
    <w:rsid w:val="00014940"/>
    <w:rsid w:val="000149CE"/>
    <w:rsid w:val="000164BC"/>
    <w:rsid w:val="00021C42"/>
    <w:rsid w:val="000223CB"/>
    <w:rsid w:val="0002476A"/>
    <w:rsid w:val="000264A7"/>
    <w:rsid w:val="00030EAA"/>
    <w:rsid w:val="000338A0"/>
    <w:rsid w:val="00034673"/>
    <w:rsid w:val="00035905"/>
    <w:rsid w:val="00041CE6"/>
    <w:rsid w:val="00044E8C"/>
    <w:rsid w:val="000461D7"/>
    <w:rsid w:val="000461E5"/>
    <w:rsid w:val="00047626"/>
    <w:rsid w:val="000558B0"/>
    <w:rsid w:val="00056167"/>
    <w:rsid w:val="00060371"/>
    <w:rsid w:val="00060B1F"/>
    <w:rsid w:val="0006103B"/>
    <w:rsid w:val="000615F4"/>
    <w:rsid w:val="000656FA"/>
    <w:rsid w:val="000704CF"/>
    <w:rsid w:val="000720D7"/>
    <w:rsid w:val="00073332"/>
    <w:rsid w:val="000748A2"/>
    <w:rsid w:val="000749A7"/>
    <w:rsid w:val="00074CE0"/>
    <w:rsid w:val="000778DC"/>
    <w:rsid w:val="000841D4"/>
    <w:rsid w:val="000858CA"/>
    <w:rsid w:val="00086007"/>
    <w:rsid w:val="000877C9"/>
    <w:rsid w:val="0009091B"/>
    <w:rsid w:val="00092B69"/>
    <w:rsid w:val="0009536B"/>
    <w:rsid w:val="00095FC9"/>
    <w:rsid w:val="000964DA"/>
    <w:rsid w:val="0009712C"/>
    <w:rsid w:val="000A3863"/>
    <w:rsid w:val="000A6331"/>
    <w:rsid w:val="000A78BB"/>
    <w:rsid w:val="000B19E9"/>
    <w:rsid w:val="000B256E"/>
    <w:rsid w:val="000B7D8B"/>
    <w:rsid w:val="000C0A9A"/>
    <w:rsid w:val="000C0CBE"/>
    <w:rsid w:val="000D2CAD"/>
    <w:rsid w:val="000D79C6"/>
    <w:rsid w:val="000E2C78"/>
    <w:rsid w:val="000E312F"/>
    <w:rsid w:val="000E5E0E"/>
    <w:rsid w:val="000F020F"/>
    <w:rsid w:val="000F09EF"/>
    <w:rsid w:val="000F340C"/>
    <w:rsid w:val="000F3E21"/>
    <w:rsid w:val="001021C8"/>
    <w:rsid w:val="00105143"/>
    <w:rsid w:val="001052C7"/>
    <w:rsid w:val="00106748"/>
    <w:rsid w:val="0010792D"/>
    <w:rsid w:val="00111E54"/>
    <w:rsid w:val="001132ED"/>
    <w:rsid w:val="00113DD3"/>
    <w:rsid w:val="00113E9C"/>
    <w:rsid w:val="00115AD9"/>
    <w:rsid w:val="00115CB7"/>
    <w:rsid w:val="001172F8"/>
    <w:rsid w:val="00117F7E"/>
    <w:rsid w:val="001213C5"/>
    <w:rsid w:val="00126902"/>
    <w:rsid w:val="00126AA3"/>
    <w:rsid w:val="00127A93"/>
    <w:rsid w:val="00127BCA"/>
    <w:rsid w:val="001337FD"/>
    <w:rsid w:val="00140550"/>
    <w:rsid w:val="001439E1"/>
    <w:rsid w:val="00150F07"/>
    <w:rsid w:val="00152DFC"/>
    <w:rsid w:val="00153D1F"/>
    <w:rsid w:val="0015600B"/>
    <w:rsid w:val="00157007"/>
    <w:rsid w:val="00160A70"/>
    <w:rsid w:val="00162708"/>
    <w:rsid w:val="00163116"/>
    <w:rsid w:val="00166866"/>
    <w:rsid w:val="0017073C"/>
    <w:rsid w:val="00175E86"/>
    <w:rsid w:val="00176BD8"/>
    <w:rsid w:val="00183B53"/>
    <w:rsid w:val="00185D2D"/>
    <w:rsid w:val="0019237B"/>
    <w:rsid w:val="00194939"/>
    <w:rsid w:val="00195372"/>
    <w:rsid w:val="001A0750"/>
    <w:rsid w:val="001A3680"/>
    <w:rsid w:val="001A3CB0"/>
    <w:rsid w:val="001A44DD"/>
    <w:rsid w:val="001A4F3A"/>
    <w:rsid w:val="001A7436"/>
    <w:rsid w:val="001B017D"/>
    <w:rsid w:val="001B0CB3"/>
    <w:rsid w:val="001B0CE9"/>
    <w:rsid w:val="001B49F0"/>
    <w:rsid w:val="001B5459"/>
    <w:rsid w:val="001C1A81"/>
    <w:rsid w:val="001C32DE"/>
    <w:rsid w:val="001D0623"/>
    <w:rsid w:val="001D2245"/>
    <w:rsid w:val="001D2F80"/>
    <w:rsid w:val="001D4687"/>
    <w:rsid w:val="001D56CC"/>
    <w:rsid w:val="001D58B9"/>
    <w:rsid w:val="001E1903"/>
    <w:rsid w:val="001E1E8A"/>
    <w:rsid w:val="001E3448"/>
    <w:rsid w:val="001E4179"/>
    <w:rsid w:val="001E43DE"/>
    <w:rsid w:val="001E5D0C"/>
    <w:rsid w:val="001E68D6"/>
    <w:rsid w:val="001E71E7"/>
    <w:rsid w:val="001E7C6C"/>
    <w:rsid w:val="001F0525"/>
    <w:rsid w:val="001F1DC5"/>
    <w:rsid w:val="001F25AD"/>
    <w:rsid w:val="001F3BDC"/>
    <w:rsid w:val="001F6600"/>
    <w:rsid w:val="001F7BDD"/>
    <w:rsid w:val="00201A0D"/>
    <w:rsid w:val="00202A3E"/>
    <w:rsid w:val="00203CF3"/>
    <w:rsid w:val="00205521"/>
    <w:rsid w:val="002071FD"/>
    <w:rsid w:val="00210074"/>
    <w:rsid w:val="00210440"/>
    <w:rsid w:val="00210C39"/>
    <w:rsid w:val="00210EF9"/>
    <w:rsid w:val="002110EB"/>
    <w:rsid w:val="00213314"/>
    <w:rsid w:val="00213C68"/>
    <w:rsid w:val="00214292"/>
    <w:rsid w:val="0021638A"/>
    <w:rsid w:val="002170CE"/>
    <w:rsid w:val="0022132F"/>
    <w:rsid w:val="00224006"/>
    <w:rsid w:val="0022508C"/>
    <w:rsid w:val="002269D1"/>
    <w:rsid w:val="0023100C"/>
    <w:rsid w:val="002321B8"/>
    <w:rsid w:val="00237903"/>
    <w:rsid w:val="002409F6"/>
    <w:rsid w:val="002418EA"/>
    <w:rsid w:val="00242089"/>
    <w:rsid w:val="00242540"/>
    <w:rsid w:val="0024710A"/>
    <w:rsid w:val="0024783C"/>
    <w:rsid w:val="00253833"/>
    <w:rsid w:val="002541E5"/>
    <w:rsid w:val="00255B46"/>
    <w:rsid w:val="0025667F"/>
    <w:rsid w:val="002566A1"/>
    <w:rsid w:val="002569BA"/>
    <w:rsid w:val="00262703"/>
    <w:rsid w:val="00262BF8"/>
    <w:rsid w:val="002649E9"/>
    <w:rsid w:val="00267C0F"/>
    <w:rsid w:val="00270063"/>
    <w:rsid w:val="00270ABB"/>
    <w:rsid w:val="00275729"/>
    <w:rsid w:val="00280FE3"/>
    <w:rsid w:val="00285DD4"/>
    <w:rsid w:val="00287AAC"/>
    <w:rsid w:val="002906FF"/>
    <w:rsid w:val="002908D4"/>
    <w:rsid w:val="00291330"/>
    <w:rsid w:val="0029178A"/>
    <w:rsid w:val="00291F40"/>
    <w:rsid w:val="0029296F"/>
    <w:rsid w:val="00293448"/>
    <w:rsid w:val="002936BD"/>
    <w:rsid w:val="002975E2"/>
    <w:rsid w:val="002A07FB"/>
    <w:rsid w:val="002A0F6C"/>
    <w:rsid w:val="002A1CEC"/>
    <w:rsid w:val="002A456F"/>
    <w:rsid w:val="002A551E"/>
    <w:rsid w:val="002A7D7B"/>
    <w:rsid w:val="002B0BF6"/>
    <w:rsid w:val="002B1053"/>
    <w:rsid w:val="002B4271"/>
    <w:rsid w:val="002B431A"/>
    <w:rsid w:val="002B616F"/>
    <w:rsid w:val="002C002C"/>
    <w:rsid w:val="002C152A"/>
    <w:rsid w:val="002C2014"/>
    <w:rsid w:val="002C55C7"/>
    <w:rsid w:val="002C73E3"/>
    <w:rsid w:val="002D0724"/>
    <w:rsid w:val="002D4502"/>
    <w:rsid w:val="002E1341"/>
    <w:rsid w:val="002E14FA"/>
    <w:rsid w:val="002E3D5E"/>
    <w:rsid w:val="002E4F26"/>
    <w:rsid w:val="002E7566"/>
    <w:rsid w:val="002F2920"/>
    <w:rsid w:val="002F2E67"/>
    <w:rsid w:val="002F4465"/>
    <w:rsid w:val="002F549E"/>
    <w:rsid w:val="00300EFD"/>
    <w:rsid w:val="0030106A"/>
    <w:rsid w:val="00302876"/>
    <w:rsid w:val="00303CFD"/>
    <w:rsid w:val="003049FD"/>
    <w:rsid w:val="003062B4"/>
    <w:rsid w:val="00306B37"/>
    <w:rsid w:val="00307080"/>
    <w:rsid w:val="00311D83"/>
    <w:rsid w:val="00313724"/>
    <w:rsid w:val="00314817"/>
    <w:rsid w:val="003201C9"/>
    <w:rsid w:val="00324740"/>
    <w:rsid w:val="00326002"/>
    <w:rsid w:val="00326CA7"/>
    <w:rsid w:val="00327379"/>
    <w:rsid w:val="0032743F"/>
    <w:rsid w:val="00331C75"/>
    <w:rsid w:val="003346EA"/>
    <w:rsid w:val="003362B6"/>
    <w:rsid w:val="0034076A"/>
    <w:rsid w:val="0034079C"/>
    <w:rsid w:val="00340E0C"/>
    <w:rsid w:val="003418FA"/>
    <w:rsid w:val="003459FD"/>
    <w:rsid w:val="00350222"/>
    <w:rsid w:val="003506CE"/>
    <w:rsid w:val="00350ADE"/>
    <w:rsid w:val="00350FE4"/>
    <w:rsid w:val="003527CE"/>
    <w:rsid w:val="003551A4"/>
    <w:rsid w:val="00360377"/>
    <w:rsid w:val="00360AEA"/>
    <w:rsid w:val="00373B48"/>
    <w:rsid w:val="003741B5"/>
    <w:rsid w:val="00377F2B"/>
    <w:rsid w:val="00381BCB"/>
    <w:rsid w:val="00382082"/>
    <w:rsid w:val="00383D3E"/>
    <w:rsid w:val="00384C24"/>
    <w:rsid w:val="003850EE"/>
    <w:rsid w:val="00386B1E"/>
    <w:rsid w:val="003A0B8C"/>
    <w:rsid w:val="003A1D31"/>
    <w:rsid w:val="003A2E1A"/>
    <w:rsid w:val="003A3FB6"/>
    <w:rsid w:val="003A44E1"/>
    <w:rsid w:val="003A5554"/>
    <w:rsid w:val="003A5B2D"/>
    <w:rsid w:val="003B0175"/>
    <w:rsid w:val="003B16CC"/>
    <w:rsid w:val="003B586D"/>
    <w:rsid w:val="003B7279"/>
    <w:rsid w:val="003C09B6"/>
    <w:rsid w:val="003C1520"/>
    <w:rsid w:val="003C4E67"/>
    <w:rsid w:val="003D1303"/>
    <w:rsid w:val="003D1E29"/>
    <w:rsid w:val="003D2039"/>
    <w:rsid w:val="003D302F"/>
    <w:rsid w:val="003D3403"/>
    <w:rsid w:val="003E089B"/>
    <w:rsid w:val="003E14AF"/>
    <w:rsid w:val="003E3240"/>
    <w:rsid w:val="003E4512"/>
    <w:rsid w:val="003F3B10"/>
    <w:rsid w:val="003F3C77"/>
    <w:rsid w:val="003F49BF"/>
    <w:rsid w:val="003F504C"/>
    <w:rsid w:val="003F63E6"/>
    <w:rsid w:val="003F7EE0"/>
    <w:rsid w:val="0040194C"/>
    <w:rsid w:val="00402CA3"/>
    <w:rsid w:val="00404C4B"/>
    <w:rsid w:val="00406594"/>
    <w:rsid w:val="00410016"/>
    <w:rsid w:val="00410595"/>
    <w:rsid w:val="004119FE"/>
    <w:rsid w:val="00414857"/>
    <w:rsid w:val="00415FDE"/>
    <w:rsid w:val="00422129"/>
    <w:rsid w:val="00422D47"/>
    <w:rsid w:val="004247ED"/>
    <w:rsid w:val="004259E2"/>
    <w:rsid w:val="00426EA4"/>
    <w:rsid w:val="00426F53"/>
    <w:rsid w:val="00430243"/>
    <w:rsid w:val="0043105F"/>
    <w:rsid w:val="00432A40"/>
    <w:rsid w:val="004374AC"/>
    <w:rsid w:val="004426DB"/>
    <w:rsid w:val="00444288"/>
    <w:rsid w:val="00445714"/>
    <w:rsid w:val="00445837"/>
    <w:rsid w:val="004474BF"/>
    <w:rsid w:val="00447C13"/>
    <w:rsid w:val="00453D5F"/>
    <w:rsid w:val="004608D8"/>
    <w:rsid w:val="0046093A"/>
    <w:rsid w:val="00460BC0"/>
    <w:rsid w:val="00463FAA"/>
    <w:rsid w:val="004731EA"/>
    <w:rsid w:val="004816E1"/>
    <w:rsid w:val="004831AB"/>
    <w:rsid w:val="00483D74"/>
    <w:rsid w:val="004850DF"/>
    <w:rsid w:val="00491F17"/>
    <w:rsid w:val="004954EA"/>
    <w:rsid w:val="004967F7"/>
    <w:rsid w:val="00496FDE"/>
    <w:rsid w:val="004A114A"/>
    <w:rsid w:val="004A2037"/>
    <w:rsid w:val="004A2419"/>
    <w:rsid w:val="004A2655"/>
    <w:rsid w:val="004A5CB6"/>
    <w:rsid w:val="004A61FD"/>
    <w:rsid w:val="004A73A8"/>
    <w:rsid w:val="004B1A0B"/>
    <w:rsid w:val="004B7FD2"/>
    <w:rsid w:val="004C037D"/>
    <w:rsid w:val="004C0A58"/>
    <w:rsid w:val="004C2A88"/>
    <w:rsid w:val="004C34D7"/>
    <w:rsid w:val="004C366F"/>
    <w:rsid w:val="004C72A3"/>
    <w:rsid w:val="004C7CB0"/>
    <w:rsid w:val="004C7D99"/>
    <w:rsid w:val="004D384D"/>
    <w:rsid w:val="004D4D5C"/>
    <w:rsid w:val="004D7323"/>
    <w:rsid w:val="004D7E2F"/>
    <w:rsid w:val="004E0129"/>
    <w:rsid w:val="004E0523"/>
    <w:rsid w:val="004E388D"/>
    <w:rsid w:val="004E44AA"/>
    <w:rsid w:val="004E4CCD"/>
    <w:rsid w:val="004E4D1A"/>
    <w:rsid w:val="004E5A52"/>
    <w:rsid w:val="004E66DD"/>
    <w:rsid w:val="004E6940"/>
    <w:rsid w:val="004E74E3"/>
    <w:rsid w:val="004F09F2"/>
    <w:rsid w:val="004F168B"/>
    <w:rsid w:val="004F4724"/>
    <w:rsid w:val="004F4CF9"/>
    <w:rsid w:val="004F4FF7"/>
    <w:rsid w:val="00501419"/>
    <w:rsid w:val="00503418"/>
    <w:rsid w:val="00506F00"/>
    <w:rsid w:val="0051210B"/>
    <w:rsid w:val="005123B0"/>
    <w:rsid w:val="005137B8"/>
    <w:rsid w:val="005139D5"/>
    <w:rsid w:val="005177CA"/>
    <w:rsid w:val="005210F5"/>
    <w:rsid w:val="00524FAE"/>
    <w:rsid w:val="00525D1B"/>
    <w:rsid w:val="005274D1"/>
    <w:rsid w:val="00530F62"/>
    <w:rsid w:val="00532E32"/>
    <w:rsid w:val="0053352D"/>
    <w:rsid w:val="00535E75"/>
    <w:rsid w:val="0053695B"/>
    <w:rsid w:val="0054043F"/>
    <w:rsid w:val="00541D2B"/>
    <w:rsid w:val="0054268C"/>
    <w:rsid w:val="00543497"/>
    <w:rsid w:val="00543919"/>
    <w:rsid w:val="00552F63"/>
    <w:rsid w:val="00554845"/>
    <w:rsid w:val="0055499C"/>
    <w:rsid w:val="005552FA"/>
    <w:rsid w:val="00555A3C"/>
    <w:rsid w:val="00556096"/>
    <w:rsid w:val="00556D05"/>
    <w:rsid w:val="00557488"/>
    <w:rsid w:val="00560ED8"/>
    <w:rsid w:val="00561A8E"/>
    <w:rsid w:val="005623F0"/>
    <w:rsid w:val="0056799A"/>
    <w:rsid w:val="0057239B"/>
    <w:rsid w:val="00580EA7"/>
    <w:rsid w:val="00582152"/>
    <w:rsid w:val="00582E96"/>
    <w:rsid w:val="00583149"/>
    <w:rsid w:val="00584997"/>
    <w:rsid w:val="00587B8B"/>
    <w:rsid w:val="0059027D"/>
    <w:rsid w:val="00591466"/>
    <w:rsid w:val="00592ECE"/>
    <w:rsid w:val="005935BD"/>
    <w:rsid w:val="005947F3"/>
    <w:rsid w:val="00595287"/>
    <w:rsid w:val="00595D71"/>
    <w:rsid w:val="00597368"/>
    <w:rsid w:val="005A01F9"/>
    <w:rsid w:val="005A0756"/>
    <w:rsid w:val="005A21F0"/>
    <w:rsid w:val="005A27A9"/>
    <w:rsid w:val="005A31E8"/>
    <w:rsid w:val="005B0E9B"/>
    <w:rsid w:val="005B2F53"/>
    <w:rsid w:val="005B41A3"/>
    <w:rsid w:val="005B679E"/>
    <w:rsid w:val="005C75D8"/>
    <w:rsid w:val="005C7E6F"/>
    <w:rsid w:val="005D213A"/>
    <w:rsid w:val="005D4A00"/>
    <w:rsid w:val="005D5678"/>
    <w:rsid w:val="005D5DE5"/>
    <w:rsid w:val="005D6D6A"/>
    <w:rsid w:val="005E0935"/>
    <w:rsid w:val="005E41A1"/>
    <w:rsid w:val="005E4914"/>
    <w:rsid w:val="005E58F6"/>
    <w:rsid w:val="005F230B"/>
    <w:rsid w:val="00600240"/>
    <w:rsid w:val="0060037D"/>
    <w:rsid w:val="00600D93"/>
    <w:rsid w:val="0060218C"/>
    <w:rsid w:val="0060281A"/>
    <w:rsid w:val="00604272"/>
    <w:rsid w:val="00604943"/>
    <w:rsid w:val="00605880"/>
    <w:rsid w:val="0061011A"/>
    <w:rsid w:val="00611981"/>
    <w:rsid w:val="00612B52"/>
    <w:rsid w:val="00612C81"/>
    <w:rsid w:val="00614478"/>
    <w:rsid w:val="00616135"/>
    <w:rsid w:val="0062341D"/>
    <w:rsid w:val="00624590"/>
    <w:rsid w:val="00632A49"/>
    <w:rsid w:val="00635FF1"/>
    <w:rsid w:val="0063655F"/>
    <w:rsid w:val="00637421"/>
    <w:rsid w:val="00640CAE"/>
    <w:rsid w:val="006422F3"/>
    <w:rsid w:val="00645D6A"/>
    <w:rsid w:val="00650873"/>
    <w:rsid w:val="00651EA7"/>
    <w:rsid w:val="006531A7"/>
    <w:rsid w:val="00656FE3"/>
    <w:rsid w:val="006612A0"/>
    <w:rsid w:val="0066608C"/>
    <w:rsid w:val="00670E85"/>
    <w:rsid w:val="00672FB0"/>
    <w:rsid w:val="00673CC6"/>
    <w:rsid w:val="0067427F"/>
    <w:rsid w:val="0067528A"/>
    <w:rsid w:val="0067541E"/>
    <w:rsid w:val="0067634E"/>
    <w:rsid w:val="006768EE"/>
    <w:rsid w:val="006779D2"/>
    <w:rsid w:val="00682B8A"/>
    <w:rsid w:val="00682B8B"/>
    <w:rsid w:val="006830A9"/>
    <w:rsid w:val="0068357B"/>
    <w:rsid w:val="0068526F"/>
    <w:rsid w:val="0068766A"/>
    <w:rsid w:val="00690AC5"/>
    <w:rsid w:val="00693454"/>
    <w:rsid w:val="006948ED"/>
    <w:rsid w:val="006971AB"/>
    <w:rsid w:val="006A14F7"/>
    <w:rsid w:val="006A1600"/>
    <w:rsid w:val="006A1862"/>
    <w:rsid w:val="006A2807"/>
    <w:rsid w:val="006B0D5C"/>
    <w:rsid w:val="006B1CF5"/>
    <w:rsid w:val="006B23FA"/>
    <w:rsid w:val="006B3C5F"/>
    <w:rsid w:val="006B473D"/>
    <w:rsid w:val="006C5AC6"/>
    <w:rsid w:val="006C7CE4"/>
    <w:rsid w:val="006D1998"/>
    <w:rsid w:val="006D2D57"/>
    <w:rsid w:val="006D3181"/>
    <w:rsid w:val="006D4838"/>
    <w:rsid w:val="006D487E"/>
    <w:rsid w:val="006D62E4"/>
    <w:rsid w:val="006D79C7"/>
    <w:rsid w:val="006E3886"/>
    <w:rsid w:val="006E3F91"/>
    <w:rsid w:val="006E73A1"/>
    <w:rsid w:val="006E7511"/>
    <w:rsid w:val="006F0FF3"/>
    <w:rsid w:val="006F1F42"/>
    <w:rsid w:val="006F2537"/>
    <w:rsid w:val="006F3C68"/>
    <w:rsid w:val="006F4763"/>
    <w:rsid w:val="006F4B4D"/>
    <w:rsid w:val="006F5A51"/>
    <w:rsid w:val="00700549"/>
    <w:rsid w:val="00702D60"/>
    <w:rsid w:val="00703788"/>
    <w:rsid w:val="007071F5"/>
    <w:rsid w:val="00711182"/>
    <w:rsid w:val="007121DC"/>
    <w:rsid w:val="00715589"/>
    <w:rsid w:val="00721111"/>
    <w:rsid w:val="00721695"/>
    <w:rsid w:val="007222DE"/>
    <w:rsid w:val="00722795"/>
    <w:rsid w:val="007234A1"/>
    <w:rsid w:val="00723E75"/>
    <w:rsid w:val="007279A1"/>
    <w:rsid w:val="007323F4"/>
    <w:rsid w:val="00732BC0"/>
    <w:rsid w:val="00732C97"/>
    <w:rsid w:val="007355DB"/>
    <w:rsid w:val="00735CF1"/>
    <w:rsid w:val="0073793E"/>
    <w:rsid w:val="00741006"/>
    <w:rsid w:val="007413FE"/>
    <w:rsid w:val="0074250C"/>
    <w:rsid w:val="00743D55"/>
    <w:rsid w:val="0074442F"/>
    <w:rsid w:val="007456DF"/>
    <w:rsid w:val="00747F05"/>
    <w:rsid w:val="007511D3"/>
    <w:rsid w:val="00751518"/>
    <w:rsid w:val="007526AA"/>
    <w:rsid w:val="00754F46"/>
    <w:rsid w:val="0076565A"/>
    <w:rsid w:val="0076689C"/>
    <w:rsid w:val="00766E93"/>
    <w:rsid w:val="00770571"/>
    <w:rsid w:val="007756FC"/>
    <w:rsid w:val="00775839"/>
    <w:rsid w:val="0077614F"/>
    <w:rsid w:val="00776727"/>
    <w:rsid w:val="00777466"/>
    <w:rsid w:val="00783DB2"/>
    <w:rsid w:val="00786408"/>
    <w:rsid w:val="00790731"/>
    <w:rsid w:val="007922C8"/>
    <w:rsid w:val="0079367A"/>
    <w:rsid w:val="00793985"/>
    <w:rsid w:val="00793BE7"/>
    <w:rsid w:val="0079431B"/>
    <w:rsid w:val="007A3104"/>
    <w:rsid w:val="007A5687"/>
    <w:rsid w:val="007A58C8"/>
    <w:rsid w:val="007B030F"/>
    <w:rsid w:val="007B3039"/>
    <w:rsid w:val="007B4E73"/>
    <w:rsid w:val="007B52D8"/>
    <w:rsid w:val="007B58A3"/>
    <w:rsid w:val="007B5AA3"/>
    <w:rsid w:val="007B6CF8"/>
    <w:rsid w:val="007B766E"/>
    <w:rsid w:val="007C3874"/>
    <w:rsid w:val="007C597B"/>
    <w:rsid w:val="007C67E2"/>
    <w:rsid w:val="007D2CA2"/>
    <w:rsid w:val="007D4D96"/>
    <w:rsid w:val="007D54AC"/>
    <w:rsid w:val="007D5D0C"/>
    <w:rsid w:val="007D6F79"/>
    <w:rsid w:val="007E4D4C"/>
    <w:rsid w:val="007E5297"/>
    <w:rsid w:val="007E52B2"/>
    <w:rsid w:val="007E5D5C"/>
    <w:rsid w:val="007E752E"/>
    <w:rsid w:val="007E7DA8"/>
    <w:rsid w:val="007F20A7"/>
    <w:rsid w:val="007F37D1"/>
    <w:rsid w:val="007F385C"/>
    <w:rsid w:val="007F49B3"/>
    <w:rsid w:val="007F5274"/>
    <w:rsid w:val="007F55B9"/>
    <w:rsid w:val="007F55CA"/>
    <w:rsid w:val="007F72A0"/>
    <w:rsid w:val="008002E6"/>
    <w:rsid w:val="0080152D"/>
    <w:rsid w:val="0080530B"/>
    <w:rsid w:val="00806861"/>
    <w:rsid w:val="00807BD0"/>
    <w:rsid w:val="00810ADC"/>
    <w:rsid w:val="00811623"/>
    <w:rsid w:val="008164CC"/>
    <w:rsid w:val="00820DDC"/>
    <w:rsid w:val="00823932"/>
    <w:rsid w:val="00830A15"/>
    <w:rsid w:val="00833AB1"/>
    <w:rsid w:val="00834A98"/>
    <w:rsid w:val="008353E0"/>
    <w:rsid w:val="00837526"/>
    <w:rsid w:val="00842D92"/>
    <w:rsid w:val="00843A4E"/>
    <w:rsid w:val="00843A61"/>
    <w:rsid w:val="00843EF1"/>
    <w:rsid w:val="00847CCF"/>
    <w:rsid w:val="00852BF1"/>
    <w:rsid w:val="00852C6C"/>
    <w:rsid w:val="00853400"/>
    <w:rsid w:val="008575FB"/>
    <w:rsid w:val="0086075C"/>
    <w:rsid w:val="00862F3F"/>
    <w:rsid w:val="00867C63"/>
    <w:rsid w:val="008716C0"/>
    <w:rsid w:val="00873D4D"/>
    <w:rsid w:val="00882A10"/>
    <w:rsid w:val="00882B85"/>
    <w:rsid w:val="0088323C"/>
    <w:rsid w:val="008840BC"/>
    <w:rsid w:val="00886EE8"/>
    <w:rsid w:val="008874F1"/>
    <w:rsid w:val="00891830"/>
    <w:rsid w:val="00892DA4"/>
    <w:rsid w:val="00894801"/>
    <w:rsid w:val="00894D13"/>
    <w:rsid w:val="00895213"/>
    <w:rsid w:val="0089655B"/>
    <w:rsid w:val="00896A38"/>
    <w:rsid w:val="008A392B"/>
    <w:rsid w:val="008A42B3"/>
    <w:rsid w:val="008A78E3"/>
    <w:rsid w:val="008B068D"/>
    <w:rsid w:val="008B13CC"/>
    <w:rsid w:val="008B15FE"/>
    <w:rsid w:val="008B1E77"/>
    <w:rsid w:val="008B1ED2"/>
    <w:rsid w:val="008B33EE"/>
    <w:rsid w:val="008B46EE"/>
    <w:rsid w:val="008B4F21"/>
    <w:rsid w:val="008B5430"/>
    <w:rsid w:val="008B5981"/>
    <w:rsid w:val="008C097D"/>
    <w:rsid w:val="008C0CE4"/>
    <w:rsid w:val="008C1721"/>
    <w:rsid w:val="008C4B19"/>
    <w:rsid w:val="008C52A2"/>
    <w:rsid w:val="008C6478"/>
    <w:rsid w:val="008D10BA"/>
    <w:rsid w:val="008D1BB5"/>
    <w:rsid w:val="008D7E90"/>
    <w:rsid w:val="008E2180"/>
    <w:rsid w:val="008E243B"/>
    <w:rsid w:val="008E2D9F"/>
    <w:rsid w:val="008E4F38"/>
    <w:rsid w:val="008E6B8B"/>
    <w:rsid w:val="008E7593"/>
    <w:rsid w:val="008F047D"/>
    <w:rsid w:val="008F1204"/>
    <w:rsid w:val="00903680"/>
    <w:rsid w:val="00903A05"/>
    <w:rsid w:val="0090603D"/>
    <w:rsid w:val="00907E30"/>
    <w:rsid w:val="00912367"/>
    <w:rsid w:val="00915176"/>
    <w:rsid w:val="00916FD5"/>
    <w:rsid w:val="00917FB8"/>
    <w:rsid w:val="00920A8F"/>
    <w:rsid w:val="009210FA"/>
    <w:rsid w:val="00923182"/>
    <w:rsid w:val="009271B6"/>
    <w:rsid w:val="00935F38"/>
    <w:rsid w:val="009363C0"/>
    <w:rsid w:val="00936D4F"/>
    <w:rsid w:val="0094006A"/>
    <w:rsid w:val="009407CD"/>
    <w:rsid w:val="00946306"/>
    <w:rsid w:val="0095213A"/>
    <w:rsid w:val="00953A4C"/>
    <w:rsid w:val="00954750"/>
    <w:rsid w:val="009549AC"/>
    <w:rsid w:val="00957BCB"/>
    <w:rsid w:val="0096073F"/>
    <w:rsid w:val="00961D04"/>
    <w:rsid w:val="00962D1E"/>
    <w:rsid w:val="009638DC"/>
    <w:rsid w:val="009638F9"/>
    <w:rsid w:val="00965FC4"/>
    <w:rsid w:val="00966FF5"/>
    <w:rsid w:val="009675BD"/>
    <w:rsid w:val="009740C3"/>
    <w:rsid w:val="009744EE"/>
    <w:rsid w:val="00975D1E"/>
    <w:rsid w:val="0097626E"/>
    <w:rsid w:val="009776EA"/>
    <w:rsid w:val="0098227E"/>
    <w:rsid w:val="00986793"/>
    <w:rsid w:val="00986C96"/>
    <w:rsid w:val="009871D9"/>
    <w:rsid w:val="009920E8"/>
    <w:rsid w:val="0099244C"/>
    <w:rsid w:val="00992B41"/>
    <w:rsid w:val="00992E80"/>
    <w:rsid w:val="00992F2B"/>
    <w:rsid w:val="00993B62"/>
    <w:rsid w:val="009948B3"/>
    <w:rsid w:val="00994C5C"/>
    <w:rsid w:val="0099524A"/>
    <w:rsid w:val="00996207"/>
    <w:rsid w:val="009A0573"/>
    <w:rsid w:val="009A08ED"/>
    <w:rsid w:val="009A6A52"/>
    <w:rsid w:val="009A6C34"/>
    <w:rsid w:val="009B19DA"/>
    <w:rsid w:val="009B57E7"/>
    <w:rsid w:val="009B6E1F"/>
    <w:rsid w:val="009B7C50"/>
    <w:rsid w:val="009B7D7B"/>
    <w:rsid w:val="009C1E65"/>
    <w:rsid w:val="009C2595"/>
    <w:rsid w:val="009C4161"/>
    <w:rsid w:val="009C4523"/>
    <w:rsid w:val="009D11BB"/>
    <w:rsid w:val="009D2B96"/>
    <w:rsid w:val="009D6632"/>
    <w:rsid w:val="009E5D77"/>
    <w:rsid w:val="009E69A5"/>
    <w:rsid w:val="009E77DA"/>
    <w:rsid w:val="009F0BBB"/>
    <w:rsid w:val="009F36FE"/>
    <w:rsid w:val="009F756B"/>
    <w:rsid w:val="00A01244"/>
    <w:rsid w:val="00A02903"/>
    <w:rsid w:val="00A02E91"/>
    <w:rsid w:val="00A05287"/>
    <w:rsid w:val="00A05BCD"/>
    <w:rsid w:val="00A119AF"/>
    <w:rsid w:val="00A1297D"/>
    <w:rsid w:val="00A15091"/>
    <w:rsid w:val="00A206B1"/>
    <w:rsid w:val="00A22C26"/>
    <w:rsid w:val="00A24917"/>
    <w:rsid w:val="00A26D5F"/>
    <w:rsid w:val="00A3078B"/>
    <w:rsid w:val="00A42B74"/>
    <w:rsid w:val="00A44ECA"/>
    <w:rsid w:val="00A4739A"/>
    <w:rsid w:val="00A478B3"/>
    <w:rsid w:val="00A55852"/>
    <w:rsid w:val="00A55F99"/>
    <w:rsid w:val="00A561C7"/>
    <w:rsid w:val="00A572C6"/>
    <w:rsid w:val="00A579CF"/>
    <w:rsid w:val="00A6558C"/>
    <w:rsid w:val="00A674CA"/>
    <w:rsid w:val="00A72944"/>
    <w:rsid w:val="00A7440B"/>
    <w:rsid w:val="00A80996"/>
    <w:rsid w:val="00A81FB0"/>
    <w:rsid w:val="00A845FF"/>
    <w:rsid w:val="00A84DAD"/>
    <w:rsid w:val="00A8501C"/>
    <w:rsid w:val="00A86778"/>
    <w:rsid w:val="00A86B67"/>
    <w:rsid w:val="00A90AF6"/>
    <w:rsid w:val="00A91005"/>
    <w:rsid w:val="00A92119"/>
    <w:rsid w:val="00A93608"/>
    <w:rsid w:val="00AA022B"/>
    <w:rsid w:val="00AA2D3E"/>
    <w:rsid w:val="00AA2E7B"/>
    <w:rsid w:val="00AA45D6"/>
    <w:rsid w:val="00AA626B"/>
    <w:rsid w:val="00AB013E"/>
    <w:rsid w:val="00AB1FF4"/>
    <w:rsid w:val="00AB5B28"/>
    <w:rsid w:val="00AC2356"/>
    <w:rsid w:val="00AC266B"/>
    <w:rsid w:val="00AC26E7"/>
    <w:rsid w:val="00AC550A"/>
    <w:rsid w:val="00AC69B0"/>
    <w:rsid w:val="00AC7D64"/>
    <w:rsid w:val="00AC7E7E"/>
    <w:rsid w:val="00AD036F"/>
    <w:rsid w:val="00AD075C"/>
    <w:rsid w:val="00AD3793"/>
    <w:rsid w:val="00AD3D48"/>
    <w:rsid w:val="00AD3D80"/>
    <w:rsid w:val="00AD6203"/>
    <w:rsid w:val="00AE0625"/>
    <w:rsid w:val="00AE0EF3"/>
    <w:rsid w:val="00AE11F9"/>
    <w:rsid w:val="00AE33DC"/>
    <w:rsid w:val="00AE55B1"/>
    <w:rsid w:val="00AE5680"/>
    <w:rsid w:val="00AE5F8C"/>
    <w:rsid w:val="00AE741C"/>
    <w:rsid w:val="00AE7CB2"/>
    <w:rsid w:val="00AF0D31"/>
    <w:rsid w:val="00AF3E45"/>
    <w:rsid w:val="00AF56C5"/>
    <w:rsid w:val="00AF56F5"/>
    <w:rsid w:val="00AF5AA2"/>
    <w:rsid w:val="00AF76B1"/>
    <w:rsid w:val="00AF7C26"/>
    <w:rsid w:val="00B00BEA"/>
    <w:rsid w:val="00B0232B"/>
    <w:rsid w:val="00B07B84"/>
    <w:rsid w:val="00B1230D"/>
    <w:rsid w:val="00B126A1"/>
    <w:rsid w:val="00B127C7"/>
    <w:rsid w:val="00B13766"/>
    <w:rsid w:val="00B15D10"/>
    <w:rsid w:val="00B1625B"/>
    <w:rsid w:val="00B162C7"/>
    <w:rsid w:val="00B17275"/>
    <w:rsid w:val="00B17955"/>
    <w:rsid w:val="00B21DDC"/>
    <w:rsid w:val="00B224EB"/>
    <w:rsid w:val="00B23069"/>
    <w:rsid w:val="00B232CE"/>
    <w:rsid w:val="00B238BB"/>
    <w:rsid w:val="00B25EF2"/>
    <w:rsid w:val="00B26F47"/>
    <w:rsid w:val="00B2731A"/>
    <w:rsid w:val="00B30E56"/>
    <w:rsid w:val="00B3171D"/>
    <w:rsid w:val="00B32193"/>
    <w:rsid w:val="00B366D1"/>
    <w:rsid w:val="00B36702"/>
    <w:rsid w:val="00B36CF0"/>
    <w:rsid w:val="00B40C36"/>
    <w:rsid w:val="00B41099"/>
    <w:rsid w:val="00B4253D"/>
    <w:rsid w:val="00B441E7"/>
    <w:rsid w:val="00B5045F"/>
    <w:rsid w:val="00B513F7"/>
    <w:rsid w:val="00B55629"/>
    <w:rsid w:val="00B63419"/>
    <w:rsid w:val="00B6416B"/>
    <w:rsid w:val="00B6586B"/>
    <w:rsid w:val="00B65CB0"/>
    <w:rsid w:val="00B65FD6"/>
    <w:rsid w:val="00B728B7"/>
    <w:rsid w:val="00B744D6"/>
    <w:rsid w:val="00B7697F"/>
    <w:rsid w:val="00B76BAE"/>
    <w:rsid w:val="00B80764"/>
    <w:rsid w:val="00B80C3E"/>
    <w:rsid w:val="00B80DEB"/>
    <w:rsid w:val="00B8191F"/>
    <w:rsid w:val="00B81BF3"/>
    <w:rsid w:val="00B82B99"/>
    <w:rsid w:val="00B834B2"/>
    <w:rsid w:val="00B838A0"/>
    <w:rsid w:val="00B86427"/>
    <w:rsid w:val="00B86662"/>
    <w:rsid w:val="00B86885"/>
    <w:rsid w:val="00B90A3B"/>
    <w:rsid w:val="00B91787"/>
    <w:rsid w:val="00B960C4"/>
    <w:rsid w:val="00B96C15"/>
    <w:rsid w:val="00BA0240"/>
    <w:rsid w:val="00BA14BD"/>
    <w:rsid w:val="00BA34A4"/>
    <w:rsid w:val="00BA67FB"/>
    <w:rsid w:val="00BB2029"/>
    <w:rsid w:val="00BB7742"/>
    <w:rsid w:val="00BB794D"/>
    <w:rsid w:val="00BC105B"/>
    <w:rsid w:val="00BC448F"/>
    <w:rsid w:val="00BC4D68"/>
    <w:rsid w:val="00BC6BE2"/>
    <w:rsid w:val="00BD211B"/>
    <w:rsid w:val="00BD25DC"/>
    <w:rsid w:val="00BD286F"/>
    <w:rsid w:val="00BD4AF4"/>
    <w:rsid w:val="00BD56F8"/>
    <w:rsid w:val="00BD75FB"/>
    <w:rsid w:val="00BE0346"/>
    <w:rsid w:val="00BE1346"/>
    <w:rsid w:val="00BE1CCE"/>
    <w:rsid w:val="00BE22F8"/>
    <w:rsid w:val="00BE5491"/>
    <w:rsid w:val="00BF16E5"/>
    <w:rsid w:val="00BF2D8E"/>
    <w:rsid w:val="00BF41CB"/>
    <w:rsid w:val="00BF7498"/>
    <w:rsid w:val="00BF7C64"/>
    <w:rsid w:val="00C05465"/>
    <w:rsid w:val="00C05BF0"/>
    <w:rsid w:val="00C102D0"/>
    <w:rsid w:val="00C13BED"/>
    <w:rsid w:val="00C1557E"/>
    <w:rsid w:val="00C16005"/>
    <w:rsid w:val="00C211ED"/>
    <w:rsid w:val="00C22CED"/>
    <w:rsid w:val="00C22F14"/>
    <w:rsid w:val="00C23639"/>
    <w:rsid w:val="00C2424B"/>
    <w:rsid w:val="00C25ACD"/>
    <w:rsid w:val="00C27476"/>
    <w:rsid w:val="00C27EFA"/>
    <w:rsid w:val="00C33933"/>
    <w:rsid w:val="00C35722"/>
    <w:rsid w:val="00C43A3C"/>
    <w:rsid w:val="00C46599"/>
    <w:rsid w:val="00C46BA6"/>
    <w:rsid w:val="00C47343"/>
    <w:rsid w:val="00C518D8"/>
    <w:rsid w:val="00C51EE4"/>
    <w:rsid w:val="00C5367D"/>
    <w:rsid w:val="00C53D7E"/>
    <w:rsid w:val="00C563F4"/>
    <w:rsid w:val="00C566B3"/>
    <w:rsid w:val="00C573BA"/>
    <w:rsid w:val="00C607C4"/>
    <w:rsid w:val="00C60BC0"/>
    <w:rsid w:val="00C6378E"/>
    <w:rsid w:val="00C702A7"/>
    <w:rsid w:val="00C7360E"/>
    <w:rsid w:val="00C75ABF"/>
    <w:rsid w:val="00C77F2A"/>
    <w:rsid w:val="00C82FB2"/>
    <w:rsid w:val="00C84965"/>
    <w:rsid w:val="00C84D6A"/>
    <w:rsid w:val="00C85938"/>
    <w:rsid w:val="00C85D5B"/>
    <w:rsid w:val="00C86D23"/>
    <w:rsid w:val="00C8769A"/>
    <w:rsid w:val="00C87D7C"/>
    <w:rsid w:val="00C907D8"/>
    <w:rsid w:val="00C95F3A"/>
    <w:rsid w:val="00CA0259"/>
    <w:rsid w:val="00CA1344"/>
    <w:rsid w:val="00CA14D2"/>
    <w:rsid w:val="00CA1BA2"/>
    <w:rsid w:val="00CA26F3"/>
    <w:rsid w:val="00CA295B"/>
    <w:rsid w:val="00CA38F3"/>
    <w:rsid w:val="00CA4B42"/>
    <w:rsid w:val="00CA6FA4"/>
    <w:rsid w:val="00CB094B"/>
    <w:rsid w:val="00CB39CB"/>
    <w:rsid w:val="00CB4213"/>
    <w:rsid w:val="00CB4E40"/>
    <w:rsid w:val="00CB5737"/>
    <w:rsid w:val="00CB585A"/>
    <w:rsid w:val="00CB5A9F"/>
    <w:rsid w:val="00CC0571"/>
    <w:rsid w:val="00CC38CC"/>
    <w:rsid w:val="00CC50DA"/>
    <w:rsid w:val="00CC6420"/>
    <w:rsid w:val="00CD3457"/>
    <w:rsid w:val="00CD42D5"/>
    <w:rsid w:val="00CD5CCD"/>
    <w:rsid w:val="00CD64B3"/>
    <w:rsid w:val="00CD6BB5"/>
    <w:rsid w:val="00CD6BF8"/>
    <w:rsid w:val="00CD7BB7"/>
    <w:rsid w:val="00CE020C"/>
    <w:rsid w:val="00CE03D0"/>
    <w:rsid w:val="00CE177C"/>
    <w:rsid w:val="00CE1AC7"/>
    <w:rsid w:val="00CE47D4"/>
    <w:rsid w:val="00CE622E"/>
    <w:rsid w:val="00CF513E"/>
    <w:rsid w:val="00CF52EB"/>
    <w:rsid w:val="00CF540B"/>
    <w:rsid w:val="00CF5E3E"/>
    <w:rsid w:val="00CF5EAE"/>
    <w:rsid w:val="00CF63C9"/>
    <w:rsid w:val="00D008B5"/>
    <w:rsid w:val="00D016C8"/>
    <w:rsid w:val="00D01F4C"/>
    <w:rsid w:val="00D06284"/>
    <w:rsid w:val="00D0635A"/>
    <w:rsid w:val="00D06BEA"/>
    <w:rsid w:val="00D10C76"/>
    <w:rsid w:val="00D11062"/>
    <w:rsid w:val="00D137F5"/>
    <w:rsid w:val="00D13930"/>
    <w:rsid w:val="00D14344"/>
    <w:rsid w:val="00D1726B"/>
    <w:rsid w:val="00D21FB1"/>
    <w:rsid w:val="00D250A0"/>
    <w:rsid w:val="00D26B65"/>
    <w:rsid w:val="00D2745A"/>
    <w:rsid w:val="00D277B7"/>
    <w:rsid w:val="00D32A1B"/>
    <w:rsid w:val="00D32F3E"/>
    <w:rsid w:val="00D35B94"/>
    <w:rsid w:val="00D369B0"/>
    <w:rsid w:val="00D36A97"/>
    <w:rsid w:val="00D40A7B"/>
    <w:rsid w:val="00D42265"/>
    <w:rsid w:val="00D46243"/>
    <w:rsid w:val="00D51269"/>
    <w:rsid w:val="00D5181A"/>
    <w:rsid w:val="00D54DBB"/>
    <w:rsid w:val="00D54E95"/>
    <w:rsid w:val="00D57F18"/>
    <w:rsid w:val="00D61951"/>
    <w:rsid w:val="00D61BA3"/>
    <w:rsid w:val="00D61EBC"/>
    <w:rsid w:val="00D633BD"/>
    <w:rsid w:val="00D639D4"/>
    <w:rsid w:val="00D71564"/>
    <w:rsid w:val="00D7433F"/>
    <w:rsid w:val="00D7585B"/>
    <w:rsid w:val="00D7600E"/>
    <w:rsid w:val="00D766D4"/>
    <w:rsid w:val="00D80F65"/>
    <w:rsid w:val="00D83936"/>
    <w:rsid w:val="00D90CC9"/>
    <w:rsid w:val="00D91172"/>
    <w:rsid w:val="00D91514"/>
    <w:rsid w:val="00D94739"/>
    <w:rsid w:val="00D94794"/>
    <w:rsid w:val="00D9505A"/>
    <w:rsid w:val="00D950C0"/>
    <w:rsid w:val="00D96F63"/>
    <w:rsid w:val="00DA02B0"/>
    <w:rsid w:val="00DA0AF2"/>
    <w:rsid w:val="00DA3031"/>
    <w:rsid w:val="00DA31FE"/>
    <w:rsid w:val="00DA36F1"/>
    <w:rsid w:val="00DA46A8"/>
    <w:rsid w:val="00DA496F"/>
    <w:rsid w:val="00DA5722"/>
    <w:rsid w:val="00DA58F6"/>
    <w:rsid w:val="00DB361B"/>
    <w:rsid w:val="00DC0C5F"/>
    <w:rsid w:val="00DC1556"/>
    <w:rsid w:val="00DC1EE1"/>
    <w:rsid w:val="00DC294E"/>
    <w:rsid w:val="00DC43F5"/>
    <w:rsid w:val="00DC4D01"/>
    <w:rsid w:val="00DD0B7A"/>
    <w:rsid w:val="00DD1A6D"/>
    <w:rsid w:val="00DD4996"/>
    <w:rsid w:val="00DD516C"/>
    <w:rsid w:val="00DD5291"/>
    <w:rsid w:val="00DD740B"/>
    <w:rsid w:val="00DD7BD6"/>
    <w:rsid w:val="00DF0AFB"/>
    <w:rsid w:val="00DF3542"/>
    <w:rsid w:val="00DF35A2"/>
    <w:rsid w:val="00DF4ACC"/>
    <w:rsid w:val="00DF6063"/>
    <w:rsid w:val="00E02013"/>
    <w:rsid w:val="00E02D36"/>
    <w:rsid w:val="00E05823"/>
    <w:rsid w:val="00E07095"/>
    <w:rsid w:val="00E079AF"/>
    <w:rsid w:val="00E125E6"/>
    <w:rsid w:val="00E13496"/>
    <w:rsid w:val="00E13CD7"/>
    <w:rsid w:val="00E142DF"/>
    <w:rsid w:val="00E2158D"/>
    <w:rsid w:val="00E219EF"/>
    <w:rsid w:val="00E24CC7"/>
    <w:rsid w:val="00E279A0"/>
    <w:rsid w:val="00E30F43"/>
    <w:rsid w:val="00E31E15"/>
    <w:rsid w:val="00E3322A"/>
    <w:rsid w:val="00E3506E"/>
    <w:rsid w:val="00E35AC7"/>
    <w:rsid w:val="00E40D04"/>
    <w:rsid w:val="00E47CDA"/>
    <w:rsid w:val="00E47DB3"/>
    <w:rsid w:val="00E522C2"/>
    <w:rsid w:val="00E54606"/>
    <w:rsid w:val="00E5499D"/>
    <w:rsid w:val="00E54BDE"/>
    <w:rsid w:val="00E62B1C"/>
    <w:rsid w:val="00E637F9"/>
    <w:rsid w:val="00E65A26"/>
    <w:rsid w:val="00E66300"/>
    <w:rsid w:val="00E7248E"/>
    <w:rsid w:val="00E72491"/>
    <w:rsid w:val="00E72601"/>
    <w:rsid w:val="00E777EB"/>
    <w:rsid w:val="00E81642"/>
    <w:rsid w:val="00E82CAD"/>
    <w:rsid w:val="00E84E0F"/>
    <w:rsid w:val="00E855A3"/>
    <w:rsid w:val="00E86946"/>
    <w:rsid w:val="00E94784"/>
    <w:rsid w:val="00E94EC1"/>
    <w:rsid w:val="00E97D59"/>
    <w:rsid w:val="00EA2A9C"/>
    <w:rsid w:val="00EA3C4E"/>
    <w:rsid w:val="00EA4CD1"/>
    <w:rsid w:val="00EA5265"/>
    <w:rsid w:val="00EA5D48"/>
    <w:rsid w:val="00EB1BD0"/>
    <w:rsid w:val="00EB4BA8"/>
    <w:rsid w:val="00EB5932"/>
    <w:rsid w:val="00EC0426"/>
    <w:rsid w:val="00EC190D"/>
    <w:rsid w:val="00EC30A2"/>
    <w:rsid w:val="00EC3732"/>
    <w:rsid w:val="00EC4622"/>
    <w:rsid w:val="00EC77AB"/>
    <w:rsid w:val="00ED0750"/>
    <w:rsid w:val="00ED105A"/>
    <w:rsid w:val="00ED2D75"/>
    <w:rsid w:val="00ED47CB"/>
    <w:rsid w:val="00ED4DBF"/>
    <w:rsid w:val="00EE0028"/>
    <w:rsid w:val="00EE00CB"/>
    <w:rsid w:val="00EE2EB3"/>
    <w:rsid w:val="00EE4DD0"/>
    <w:rsid w:val="00EF29B7"/>
    <w:rsid w:val="00EF36CD"/>
    <w:rsid w:val="00EF3D56"/>
    <w:rsid w:val="00EF4602"/>
    <w:rsid w:val="00EF5EAF"/>
    <w:rsid w:val="00EF608A"/>
    <w:rsid w:val="00EF646E"/>
    <w:rsid w:val="00EF6513"/>
    <w:rsid w:val="00F068E6"/>
    <w:rsid w:val="00F11F9F"/>
    <w:rsid w:val="00F128E0"/>
    <w:rsid w:val="00F1301E"/>
    <w:rsid w:val="00F13077"/>
    <w:rsid w:val="00F14642"/>
    <w:rsid w:val="00F1674E"/>
    <w:rsid w:val="00F20584"/>
    <w:rsid w:val="00F208B2"/>
    <w:rsid w:val="00F214B3"/>
    <w:rsid w:val="00F221B7"/>
    <w:rsid w:val="00F224E7"/>
    <w:rsid w:val="00F261E1"/>
    <w:rsid w:val="00F26E13"/>
    <w:rsid w:val="00F272B8"/>
    <w:rsid w:val="00F2759D"/>
    <w:rsid w:val="00F30795"/>
    <w:rsid w:val="00F32D29"/>
    <w:rsid w:val="00F343D7"/>
    <w:rsid w:val="00F34AA7"/>
    <w:rsid w:val="00F361CF"/>
    <w:rsid w:val="00F36928"/>
    <w:rsid w:val="00F36CDC"/>
    <w:rsid w:val="00F37DEE"/>
    <w:rsid w:val="00F410EE"/>
    <w:rsid w:val="00F50729"/>
    <w:rsid w:val="00F51EDB"/>
    <w:rsid w:val="00F562EE"/>
    <w:rsid w:val="00F606A3"/>
    <w:rsid w:val="00F62F2E"/>
    <w:rsid w:val="00F672E5"/>
    <w:rsid w:val="00F703A2"/>
    <w:rsid w:val="00F710DD"/>
    <w:rsid w:val="00F72829"/>
    <w:rsid w:val="00F7415F"/>
    <w:rsid w:val="00F74BB7"/>
    <w:rsid w:val="00F757C7"/>
    <w:rsid w:val="00F77B7B"/>
    <w:rsid w:val="00F81963"/>
    <w:rsid w:val="00F85D35"/>
    <w:rsid w:val="00F90579"/>
    <w:rsid w:val="00F92AFF"/>
    <w:rsid w:val="00F94B28"/>
    <w:rsid w:val="00F95A91"/>
    <w:rsid w:val="00F95F4C"/>
    <w:rsid w:val="00F97A73"/>
    <w:rsid w:val="00FA1646"/>
    <w:rsid w:val="00FA1805"/>
    <w:rsid w:val="00FA326F"/>
    <w:rsid w:val="00FA49FE"/>
    <w:rsid w:val="00FA7F3F"/>
    <w:rsid w:val="00FB525A"/>
    <w:rsid w:val="00FB5764"/>
    <w:rsid w:val="00FB63CF"/>
    <w:rsid w:val="00FB6B5B"/>
    <w:rsid w:val="00FC13ED"/>
    <w:rsid w:val="00FC41F6"/>
    <w:rsid w:val="00FC4EA6"/>
    <w:rsid w:val="00FC5DDB"/>
    <w:rsid w:val="00FD047A"/>
    <w:rsid w:val="00FD25BE"/>
    <w:rsid w:val="00FD552B"/>
    <w:rsid w:val="00FD6436"/>
    <w:rsid w:val="00FE1607"/>
    <w:rsid w:val="00FE1E9C"/>
    <w:rsid w:val="00FE46F1"/>
    <w:rsid w:val="00FE5CF1"/>
    <w:rsid w:val="00FE70A0"/>
    <w:rsid w:val="00FE7E56"/>
    <w:rsid w:val="00FF3B8A"/>
    <w:rsid w:val="00FF61A4"/>
    <w:rsid w:val="00FF6726"/>
    <w:rsid w:val="00FF6A58"/>
    <w:rsid w:val="00FF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64466"/>
  <w15:chartTrackingRefBased/>
  <w15:docId w15:val="{093E8BD3-59D1-4C10-A41A-09154192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478"/>
    <w:pPr>
      <w:keepNext/>
      <w:keepLines/>
      <w:numPr>
        <w:numId w:val="22"/>
      </w:numPr>
      <w:spacing w:before="240" w:after="240"/>
      <w:outlineLvl w:val="0"/>
    </w:pPr>
    <w:rPr>
      <w:rFonts w:ascii="Times New Roman" w:eastAsiaTheme="majorEastAsia" w:hAnsi="Times New Roman" w:cstheme="majorBidi"/>
      <w:b/>
      <w:caps/>
      <w:sz w:val="28"/>
      <w:szCs w:val="32"/>
    </w:rPr>
  </w:style>
  <w:style w:type="paragraph" w:styleId="Heading2">
    <w:name w:val="heading 2"/>
    <w:basedOn w:val="Normal"/>
    <w:next w:val="Normal"/>
    <w:link w:val="Heading2Char"/>
    <w:uiPriority w:val="9"/>
    <w:unhideWhenUsed/>
    <w:qFormat/>
    <w:rsid w:val="00614478"/>
    <w:pPr>
      <w:keepNext/>
      <w:keepLines/>
      <w:spacing w:before="40" w:after="240"/>
      <w:ind w:left="714" w:hanging="357"/>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D5291"/>
    <w:pPr>
      <w:keepNext/>
      <w:keepLines/>
      <w:spacing w:before="40" w:after="12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DA0AF2"/>
    <w:pPr>
      <w:keepNext/>
      <w:keepLines/>
      <w:spacing w:before="40" w:after="0"/>
      <w:outlineLvl w:val="3"/>
    </w:pPr>
    <w:rPr>
      <w:rFonts w:asciiTheme="majorHAnsi" w:eastAsiaTheme="majorEastAsia" w:hAnsiTheme="majorHAnsi" w:cstheme="majorBidi"/>
      <w:i/>
      <w:iCs/>
      <w:color w:val="2E74B5" w:themeColor="accent1" w:themeShade="B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5EF2"/>
    <w:pPr>
      <w:spacing w:after="200" w:line="276" w:lineRule="auto"/>
      <w:ind w:left="720"/>
      <w:contextualSpacing/>
    </w:pPr>
  </w:style>
  <w:style w:type="character" w:customStyle="1" w:styleId="ListParagraphChar">
    <w:name w:val="List Paragraph Char"/>
    <w:link w:val="ListParagraph"/>
    <w:uiPriority w:val="34"/>
    <w:locked/>
    <w:rsid w:val="00B25EF2"/>
  </w:style>
  <w:style w:type="paragraph" w:styleId="BalloonText">
    <w:name w:val="Balloon Text"/>
    <w:basedOn w:val="Normal"/>
    <w:link w:val="BalloonTextChar"/>
    <w:uiPriority w:val="99"/>
    <w:semiHidden/>
    <w:unhideWhenUsed/>
    <w:rsid w:val="0031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817"/>
    <w:rPr>
      <w:rFonts w:ascii="Segoe UI" w:hAnsi="Segoe UI" w:cs="Segoe UI"/>
      <w:sz w:val="18"/>
      <w:szCs w:val="18"/>
    </w:rPr>
  </w:style>
  <w:style w:type="paragraph" w:styleId="Header">
    <w:name w:val="header"/>
    <w:basedOn w:val="Normal"/>
    <w:link w:val="HeaderChar"/>
    <w:uiPriority w:val="99"/>
    <w:unhideWhenUsed/>
    <w:rsid w:val="00FB5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5A"/>
  </w:style>
  <w:style w:type="paragraph" w:styleId="Footer">
    <w:name w:val="footer"/>
    <w:basedOn w:val="Normal"/>
    <w:link w:val="FooterChar"/>
    <w:uiPriority w:val="99"/>
    <w:unhideWhenUsed/>
    <w:rsid w:val="00FB5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5A"/>
  </w:style>
  <w:style w:type="character" w:styleId="CommentReference">
    <w:name w:val="annotation reference"/>
    <w:basedOn w:val="DefaultParagraphFont"/>
    <w:uiPriority w:val="99"/>
    <w:semiHidden/>
    <w:unhideWhenUsed/>
    <w:rsid w:val="003527CE"/>
    <w:rPr>
      <w:sz w:val="16"/>
      <w:szCs w:val="16"/>
    </w:rPr>
  </w:style>
  <w:style w:type="paragraph" w:styleId="CommentText">
    <w:name w:val="annotation text"/>
    <w:basedOn w:val="Normal"/>
    <w:link w:val="CommentTextChar"/>
    <w:uiPriority w:val="99"/>
    <w:unhideWhenUsed/>
    <w:rsid w:val="003527CE"/>
    <w:pPr>
      <w:spacing w:line="240" w:lineRule="auto"/>
    </w:pPr>
    <w:rPr>
      <w:sz w:val="20"/>
      <w:szCs w:val="20"/>
    </w:rPr>
  </w:style>
  <w:style w:type="character" w:customStyle="1" w:styleId="CommentTextChar">
    <w:name w:val="Comment Text Char"/>
    <w:basedOn w:val="DefaultParagraphFont"/>
    <w:link w:val="CommentText"/>
    <w:uiPriority w:val="99"/>
    <w:rsid w:val="003527CE"/>
    <w:rPr>
      <w:sz w:val="20"/>
      <w:szCs w:val="20"/>
    </w:rPr>
  </w:style>
  <w:style w:type="paragraph" w:styleId="CommentSubject">
    <w:name w:val="annotation subject"/>
    <w:basedOn w:val="CommentText"/>
    <w:next w:val="CommentText"/>
    <w:link w:val="CommentSubjectChar"/>
    <w:uiPriority w:val="99"/>
    <w:semiHidden/>
    <w:unhideWhenUsed/>
    <w:rsid w:val="003527CE"/>
    <w:rPr>
      <w:b/>
      <w:bCs/>
    </w:rPr>
  </w:style>
  <w:style w:type="character" w:customStyle="1" w:styleId="CommentSubjectChar">
    <w:name w:val="Comment Subject Char"/>
    <w:basedOn w:val="CommentTextChar"/>
    <w:link w:val="CommentSubject"/>
    <w:uiPriority w:val="99"/>
    <w:semiHidden/>
    <w:rsid w:val="003527CE"/>
    <w:rPr>
      <w:b/>
      <w:bCs/>
      <w:sz w:val="20"/>
      <w:szCs w:val="20"/>
    </w:rPr>
  </w:style>
  <w:style w:type="character" w:customStyle="1" w:styleId="Heading4Char">
    <w:name w:val="Heading 4 Char"/>
    <w:basedOn w:val="DefaultParagraphFont"/>
    <w:link w:val="Heading4"/>
    <w:uiPriority w:val="9"/>
    <w:rsid w:val="00DA0AF2"/>
    <w:rPr>
      <w:rFonts w:asciiTheme="majorHAnsi" w:eastAsiaTheme="majorEastAsia" w:hAnsiTheme="majorHAnsi" w:cstheme="majorBidi"/>
      <w:i/>
      <w:iCs/>
      <w:color w:val="2E74B5" w:themeColor="accent1" w:themeShade="BF"/>
      <w:lang w:val="sr-Latn-RS"/>
    </w:rPr>
  </w:style>
  <w:style w:type="paragraph" w:customStyle="1" w:styleId="paragraph">
    <w:name w:val="paragraph"/>
    <w:basedOn w:val="Normal"/>
    <w:rsid w:val="00B866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86662"/>
  </w:style>
  <w:style w:type="character" w:customStyle="1" w:styleId="eop">
    <w:name w:val="eop"/>
    <w:basedOn w:val="DefaultParagraphFont"/>
    <w:rsid w:val="00B86662"/>
  </w:style>
  <w:style w:type="paragraph" w:styleId="FootnoteText">
    <w:name w:val="footnote text"/>
    <w:aliases w:val="Footnote Text Char2,Footnote Text Char1 Char,Footnote Text Char Char Char1,Footnote Text Char1 Char Char Char,Footnote Text Char Char1 Char Char1 Char,Footnote Text Char1 Char Char Char Char Char,Footnote Text Char Char,ft,ft Char Char,fn"/>
    <w:basedOn w:val="Normal"/>
    <w:link w:val="FootnoteTextChar"/>
    <w:uiPriority w:val="99"/>
    <w:unhideWhenUsed/>
    <w:rsid w:val="00B86662"/>
    <w:pPr>
      <w:spacing w:after="0" w:line="240" w:lineRule="auto"/>
    </w:pPr>
    <w:rPr>
      <w:sz w:val="20"/>
      <w:szCs w:val="20"/>
      <w:lang w:val="sr-Latn-RS"/>
    </w:rPr>
  </w:style>
  <w:style w:type="character" w:customStyle="1" w:styleId="FootnoteTextChar">
    <w:name w:val="Footnote Text Char"/>
    <w:aliases w:val="Footnote Text Char2 Char,Footnote Text Char1 Char Char,Footnote Text Char Char Char1 Char,Footnote Text Char1 Char Char Char Char,Footnote Text Char Char1 Char Char1 Char Char,Footnote Text Char1 Char Char Char Char Char Char,ft Char"/>
    <w:basedOn w:val="DefaultParagraphFont"/>
    <w:link w:val="FootnoteText"/>
    <w:uiPriority w:val="99"/>
    <w:rsid w:val="00B86662"/>
    <w:rPr>
      <w:sz w:val="20"/>
      <w:szCs w:val="20"/>
      <w:lang w:val="sr-Latn-RS"/>
    </w:rPr>
  </w:style>
  <w:style w:type="character" w:styleId="FootnoteReference">
    <w:name w:val="footnote reference"/>
    <w:aliases w:val="Footnote symbol,Footnote reference number,Footnote text,16 Point,Superscript 6 Point,Footnote Reference Number,BVI fnr,nota pié di pagina,ftref,Times 10 Point,Exposant 3 Point,EN Footnote Reference,note TESI,Footnote"/>
    <w:basedOn w:val="DefaultParagraphFont"/>
    <w:uiPriority w:val="99"/>
    <w:semiHidden/>
    <w:unhideWhenUsed/>
    <w:rsid w:val="00B86662"/>
    <w:rPr>
      <w:vertAlign w:val="superscript"/>
    </w:rPr>
  </w:style>
  <w:style w:type="character" w:styleId="Hyperlink">
    <w:name w:val="Hyperlink"/>
    <w:basedOn w:val="DefaultParagraphFont"/>
    <w:uiPriority w:val="99"/>
    <w:unhideWhenUsed/>
    <w:rsid w:val="00B86662"/>
    <w:rPr>
      <w:color w:val="0563C1" w:themeColor="hyperlink"/>
      <w:u w:val="single"/>
    </w:rPr>
  </w:style>
  <w:style w:type="table" w:styleId="TableGrid">
    <w:name w:val="Table Grid"/>
    <w:basedOn w:val="TableNormal"/>
    <w:uiPriority w:val="39"/>
    <w:rsid w:val="00B8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72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614478"/>
    <w:rPr>
      <w:rFonts w:ascii="Times New Roman" w:eastAsiaTheme="majorEastAsia" w:hAnsi="Times New Roman" w:cstheme="majorBidi"/>
      <w:b/>
      <w:sz w:val="24"/>
      <w:szCs w:val="26"/>
    </w:rPr>
  </w:style>
  <w:style w:type="paragraph" w:styleId="Revision">
    <w:name w:val="Revision"/>
    <w:hidden/>
    <w:uiPriority w:val="99"/>
    <w:semiHidden/>
    <w:rsid w:val="00D71564"/>
    <w:pPr>
      <w:spacing w:after="0" w:line="240" w:lineRule="auto"/>
    </w:pPr>
  </w:style>
  <w:style w:type="paragraph" w:styleId="Caption">
    <w:name w:val="caption"/>
    <w:basedOn w:val="Normal"/>
    <w:next w:val="Normal"/>
    <w:uiPriority w:val="35"/>
    <w:unhideWhenUsed/>
    <w:qFormat/>
    <w:rsid w:val="00614478"/>
    <w:pPr>
      <w:spacing w:after="200" w:line="240" w:lineRule="auto"/>
    </w:pPr>
    <w:rPr>
      <w:rFonts w:ascii="Times New Roman" w:hAnsi="Times New Roman"/>
      <w:iCs/>
      <w:sz w:val="20"/>
      <w:szCs w:val="18"/>
    </w:rPr>
  </w:style>
  <w:style w:type="character" w:customStyle="1" w:styleId="Heading1Char">
    <w:name w:val="Heading 1 Char"/>
    <w:basedOn w:val="DefaultParagraphFont"/>
    <w:link w:val="Heading1"/>
    <w:uiPriority w:val="9"/>
    <w:rsid w:val="00614478"/>
    <w:rPr>
      <w:rFonts w:ascii="Times New Roman" w:eastAsiaTheme="majorEastAsia" w:hAnsi="Times New Roman" w:cstheme="majorBidi"/>
      <w:b/>
      <w:caps/>
      <w:sz w:val="28"/>
      <w:szCs w:val="32"/>
    </w:rPr>
  </w:style>
  <w:style w:type="character" w:customStyle="1" w:styleId="Heading3Char">
    <w:name w:val="Heading 3 Char"/>
    <w:basedOn w:val="DefaultParagraphFont"/>
    <w:link w:val="Heading3"/>
    <w:uiPriority w:val="9"/>
    <w:rsid w:val="00DD5291"/>
    <w:rPr>
      <w:rFonts w:ascii="Times New Roman" w:eastAsiaTheme="majorEastAsia" w:hAnsi="Times New Roman" w:cstheme="majorBidi"/>
      <w:sz w:val="24"/>
      <w:szCs w:val="24"/>
    </w:rPr>
  </w:style>
  <w:style w:type="character" w:customStyle="1" w:styleId="UnresolvedMention1">
    <w:name w:val="Unresolved Mention1"/>
    <w:basedOn w:val="DefaultParagraphFont"/>
    <w:uiPriority w:val="99"/>
    <w:semiHidden/>
    <w:unhideWhenUsed/>
    <w:rsid w:val="00ED47CB"/>
    <w:rPr>
      <w:color w:val="605E5C"/>
      <w:shd w:val="clear" w:color="auto" w:fill="E1DFDD"/>
    </w:rPr>
  </w:style>
  <w:style w:type="character" w:customStyle="1" w:styleId="hwtze">
    <w:name w:val="hwtze"/>
    <w:basedOn w:val="DefaultParagraphFont"/>
    <w:rsid w:val="00373B48"/>
  </w:style>
  <w:style w:type="character" w:customStyle="1" w:styleId="rynqvb">
    <w:name w:val="rynqvb"/>
    <w:basedOn w:val="DefaultParagraphFont"/>
    <w:rsid w:val="00373B48"/>
  </w:style>
  <w:style w:type="character" w:customStyle="1" w:styleId="UnresolvedMention2">
    <w:name w:val="Unresolved Mention2"/>
    <w:basedOn w:val="DefaultParagraphFont"/>
    <w:uiPriority w:val="99"/>
    <w:semiHidden/>
    <w:unhideWhenUsed/>
    <w:rsid w:val="0068766A"/>
    <w:rPr>
      <w:color w:val="605E5C"/>
      <w:shd w:val="clear" w:color="auto" w:fill="E1DFDD"/>
    </w:rPr>
  </w:style>
  <w:style w:type="table" w:customStyle="1" w:styleId="TableGrid1">
    <w:name w:val="Table Grid1"/>
    <w:basedOn w:val="TableNormal"/>
    <w:next w:val="TableGrid"/>
    <w:uiPriority w:val="39"/>
    <w:rsid w:val="003E14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572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table" w:customStyle="1" w:styleId="TableGrid2">
    <w:name w:val="Table Grid2"/>
    <w:basedOn w:val="TableNormal"/>
    <w:next w:val="TableGrid"/>
    <w:uiPriority w:val="39"/>
    <w:rsid w:val="0055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E1607"/>
    <w:rPr>
      <w:color w:val="605E5C"/>
      <w:shd w:val="clear" w:color="auto" w:fill="E1DFDD"/>
    </w:rPr>
  </w:style>
  <w:style w:type="character" w:styleId="FollowedHyperlink">
    <w:name w:val="FollowedHyperlink"/>
    <w:basedOn w:val="DefaultParagraphFont"/>
    <w:uiPriority w:val="99"/>
    <w:semiHidden/>
    <w:unhideWhenUsed/>
    <w:rsid w:val="008E7593"/>
    <w:rPr>
      <w:color w:val="954F72" w:themeColor="followedHyperlink"/>
      <w:u w:val="single"/>
    </w:rPr>
  </w:style>
  <w:style w:type="paragraph" w:customStyle="1" w:styleId="basic-paragraph">
    <w:name w:val="basic-paragraph"/>
    <w:basedOn w:val="Normal"/>
    <w:rsid w:val="00994C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ld">
    <w:name w:val="bold"/>
    <w:basedOn w:val="Normal"/>
    <w:rsid w:val="00957B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ntenseEmphasis">
    <w:name w:val="Intense Emphasis"/>
    <w:uiPriority w:val="21"/>
    <w:qFormat/>
    <w:rsid w:val="00386B1E"/>
    <w:rPr>
      <w:b/>
      <w:bCs/>
      <w:i/>
      <w:iCs/>
      <w:color w:val="4F81BD"/>
    </w:rPr>
  </w:style>
  <w:style w:type="paragraph" w:styleId="EndnoteText">
    <w:name w:val="endnote text"/>
    <w:basedOn w:val="Normal"/>
    <w:link w:val="EndnoteTextChar"/>
    <w:uiPriority w:val="99"/>
    <w:semiHidden/>
    <w:unhideWhenUsed/>
    <w:rsid w:val="00894D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D13"/>
    <w:rPr>
      <w:sz w:val="20"/>
      <w:szCs w:val="20"/>
    </w:rPr>
  </w:style>
  <w:style w:type="character" w:styleId="EndnoteReference">
    <w:name w:val="endnote reference"/>
    <w:basedOn w:val="DefaultParagraphFont"/>
    <w:uiPriority w:val="99"/>
    <w:semiHidden/>
    <w:unhideWhenUsed/>
    <w:rsid w:val="00894D13"/>
    <w:rPr>
      <w:vertAlign w:val="superscript"/>
    </w:rPr>
  </w:style>
  <w:style w:type="character" w:styleId="Strong">
    <w:name w:val="Strong"/>
    <w:basedOn w:val="DefaultParagraphFont"/>
    <w:uiPriority w:val="22"/>
    <w:qFormat/>
    <w:rsid w:val="00327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346">
      <w:bodyDiv w:val="1"/>
      <w:marLeft w:val="0"/>
      <w:marRight w:val="0"/>
      <w:marTop w:val="0"/>
      <w:marBottom w:val="0"/>
      <w:divBdr>
        <w:top w:val="none" w:sz="0" w:space="0" w:color="auto"/>
        <w:left w:val="none" w:sz="0" w:space="0" w:color="auto"/>
        <w:bottom w:val="none" w:sz="0" w:space="0" w:color="auto"/>
        <w:right w:val="none" w:sz="0" w:space="0" w:color="auto"/>
      </w:divBdr>
    </w:div>
    <w:div w:id="119541312">
      <w:bodyDiv w:val="1"/>
      <w:marLeft w:val="0"/>
      <w:marRight w:val="0"/>
      <w:marTop w:val="0"/>
      <w:marBottom w:val="0"/>
      <w:divBdr>
        <w:top w:val="none" w:sz="0" w:space="0" w:color="auto"/>
        <w:left w:val="none" w:sz="0" w:space="0" w:color="auto"/>
        <w:bottom w:val="none" w:sz="0" w:space="0" w:color="auto"/>
        <w:right w:val="none" w:sz="0" w:space="0" w:color="auto"/>
      </w:divBdr>
    </w:div>
    <w:div w:id="174735744">
      <w:bodyDiv w:val="1"/>
      <w:marLeft w:val="0"/>
      <w:marRight w:val="0"/>
      <w:marTop w:val="0"/>
      <w:marBottom w:val="0"/>
      <w:divBdr>
        <w:top w:val="none" w:sz="0" w:space="0" w:color="auto"/>
        <w:left w:val="none" w:sz="0" w:space="0" w:color="auto"/>
        <w:bottom w:val="none" w:sz="0" w:space="0" w:color="auto"/>
        <w:right w:val="none" w:sz="0" w:space="0" w:color="auto"/>
      </w:divBdr>
    </w:div>
    <w:div w:id="267322252">
      <w:bodyDiv w:val="1"/>
      <w:marLeft w:val="0"/>
      <w:marRight w:val="0"/>
      <w:marTop w:val="0"/>
      <w:marBottom w:val="0"/>
      <w:divBdr>
        <w:top w:val="none" w:sz="0" w:space="0" w:color="auto"/>
        <w:left w:val="none" w:sz="0" w:space="0" w:color="auto"/>
        <w:bottom w:val="none" w:sz="0" w:space="0" w:color="auto"/>
        <w:right w:val="none" w:sz="0" w:space="0" w:color="auto"/>
      </w:divBdr>
    </w:div>
    <w:div w:id="318733476">
      <w:bodyDiv w:val="1"/>
      <w:marLeft w:val="0"/>
      <w:marRight w:val="0"/>
      <w:marTop w:val="0"/>
      <w:marBottom w:val="0"/>
      <w:divBdr>
        <w:top w:val="none" w:sz="0" w:space="0" w:color="auto"/>
        <w:left w:val="none" w:sz="0" w:space="0" w:color="auto"/>
        <w:bottom w:val="none" w:sz="0" w:space="0" w:color="auto"/>
        <w:right w:val="none" w:sz="0" w:space="0" w:color="auto"/>
      </w:divBdr>
    </w:div>
    <w:div w:id="369960104">
      <w:bodyDiv w:val="1"/>
      <w:marLeft w:val="0"/>
      <w:marRight w:val="0"/>
      <w:marTop w:val="0"/>
      <w:marBottom w:val="0"/>
      <w:divBdr>
        <w:top w:val="none" w:sz="0" w:space="0" w:color="auto"/>
        <w:left w:val="none" w:sz="0" w:space="0" w:color="auto"/>
        <w:bottom w:val="none" w:sz="0" w:space="0" w:color="auto"/>
        <w:right w:val="none" w:sz="0" w:space="0" w:color="auto"/>
      </w:divBdr>
    </w:div>
    <w:div w:id="421100377">
      <w:bodyDiv w:val="1"/>
      <w:marLeft w:val="0"/>
      <w:marRight w:val="0"/>
      <w:marTop w:val="0"/>
      <w:marBottom w:val="0"/>
      <w:divBdr>
        <w:top w:val="none" w:sz="0" w:space="0" w:color="auto"/>
        <w:left w:val="none" w:sz="0" w:space="0" w:color="auto"/>
        <w:bottom w:val="none" w:sz="0" w:space="0" w:color="auto"/>
        <w:right w:val="none" w:sz="0" w:space="0" w:color="auto"/>
      </w:divBdr>
    </w:div>
    <w:div w:id="573247278">
      <w:bodyDiv w:val="1"/>
      <w:marLeft w:val="0"/>
      <w:marRight w:val="0"/>
      <w:marTop w:val="0"/>
      <w:marBottom w:val="0"/>
      <w:divBdr>
        <w:top w:val="none" w:sz="0" w:space="0" w:color="auto"/>
        <w:left w:val="none" w:sz="0" w:space="0" w:color="auto"/>
        <w:bottom w:val="none" w:sz="0" w:space="0" w:color="auto"/>
        <w:right w:val="none" w:sz="0" w:space="0" w:color="auto"/>
      </w:divBdr>
    </w:div>
    <w:div w:id="845439740">
      <w:bodyDiv w:val="1"/>
      <w:marLeft w:val="0"/>
      <w:marRight w:val="0"/>
      <w:marTop w:val="0"/>
      <w:marBottom w:val="0"/>
      <w:divBdr>
        <w:top w:val="none" w:sz="0" w:space="0" w:color="auto"/>
        <w:left w:val="none" w:sz="0" w:space="0" w:color="auto"/>
        <w:bottom w:val="none" w:sz="0" w:space="0" w:color="auto"/>
        <w:right w:val="none" w:sz="0" w:space="0" w:color="auto"/>
      </w:divBdr>
    </w:div>
    <w:div w:id="1005939397">
      <w:bodyDiv w:val="1"/>
      <w:marLeft w:val="0"/>
      <w:marRight w:val="0"/>
      <w:marTop w:val="0"/>
      <w:marBottom w:val="0"/>
      <w:divBdr>
        <w:top w:val="none" w:sz="0" w:space="0" w:color="auto"/>
        <w:left w:val="none" w:sz="0" w:space="0" w:color="auto"/>
        <w:bottom w:val="none" w:sz="0" w:space="0" w:color="auto"/>
        <w:right w:val="none" w:sz="0" w:space="0" w:color="auto"/>
      </w:divBdr>
    </w:div>
    <w:div w:id="112265110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49">
          <w:marLeft w:val="547"/>
          <w:marRight w:val="0"/>
          <w:marTop w:val="0"/>
          <w:marBottom w:val="0"/>
          <w:divBdr>
            <w:top w:val="none" w:sz="0" w:space="0" w:color="auto"/>
            <w:left w:val="none" w:sz="0" w:space="0" w:color="auto"/>
            <w:bottom w:val="none" w:sz="0" w:space="0" w:color="auto"/>
            <w:right w:val="none" w:sz="0" w:space="0" w:color="auto"/>
          </w:divBdr>
        </w:div>
      </w:divsChild>
    </w:div>
    <w:div w:id="1497842753">
      <w:bodyDiv w:val="1"/>
      <w:marLeft w:val="0"/>
      <w:marRight w:val="0"/>
      <w:marTop w:val="0"/>
      <w:marBottom w:val="0"/>
      <w:divBdr>
        <w:top w:val="none" w:sz="0" w:space="0" w:color="auto"/>
        <w:left w:val="none" w:sz="0" w:space="0" w:color="auto"/>
        <w:bottom w:val="none" w:sz="0" w:space="0" w:color="auto"/>
        <w:right w:val="none" w:sz="0" w:space="0" w:color="auto"/>
      </w:divBdr>
    </w:div>
    <w:div w:id="1594705363">
      <w:bodyDiv w:val="1"/>
      <w:marLeft w:val="0"/>
      <w:marRight w:val="0"/>
      <w:marTop w:val="0"/>
      <w:marBottom w:val="0"/>
      <w:divBdr>
        <w:top w:val="none" w:sz="0" w:space="0" w:color="auto"/>
        <w:left w:val="none" w:sz="0" w:space="0" w:color="auto"/>
        <w:bottom w:val="none" w:sz="0" w:space="0" w:color="auto"/>
        <w:right w:val="none" w:sz="0" w:space="0" w:color="auto"/>
      </w:divBdr>
    </w:div>
    <w:div w:id="1622690398">
      <w:bodyDiv w:val="1"/>
      <w:marLeft w:val="0"/>
      <w:marRight w:val="0"/>
      <w:marTop w:val="0"/>
      <w:marBottom w:val="0"/>
      <w:divBdr>
        <w:top w:val="none" w:sz="0" w:space="0" w:color="auto"/>
        <w:left w:val="none" w:sz="0" w:space="0" w:color="auto"/>
        <w:bottom w:val="none" w:sz="0" w:space="0" w:color="auto"/>
        <w:right w:val="none" w:sz="0" w:space="0" w:color="auto"/>
      </w:divBdr>
    </w:div>
    <w:div w:id="1749380574">
      <w:bodyDiv w:val="1"/>
      <w:marLeft w:val="0"/>
      <w:marRight w:val="0"/>
      <w:marTop w:val="0"/>
      <w:marBottom w:val="0"/>
      <w:divBdr>
        <w:top w:val="none" w:sz="0" w:space="0" w:color="auto"/>
        <w:left w:val="none" w:sz="0" w:space="0" w:color="auto"/>
        <w:bottom w:val="none" w:sz="0" w:space="0" w:color="auto"/>
        <w:right w:val="none" w:sz="0" w:space="0" w:color="auto"/>
      </w:divBdr>
    </w:div>
    <w:div w:id="1839420350">
      <w:bodyDiv w:val="1"/>
      <w:marLeft w:val="0"/>
      <w:marRight w:val="0"/>
      <w:marTop w:val="0"/>
      <w:marBottom w:val="0"/>
      <w:divBdr>
        <w:top w:val="none" w:sz="0" w:space="0" w:color="auto"/>
        <w:left w:val="none" w:sz="0" w:space="0" w:color="auto"/>
        <w:bottom w:val="none" w:sz="0" w:space="0" w:color="auto"/>
        <w:right w:val="none" w:sz="0" w:space="0" w:color="auto"/>
      </w:divBdr>
    </w:div>
    <w:div w:id="2083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78108&amp;action=propis&amp;path=07810801.html&amp;domain=0&amp;mark=false&amp;queries=odr--3--ivog+urbanog&amp;searchType=1&amp;regulationType=1&amp;domain=0&amp;myFavorites=false&amp;dateFrom=&amp;dateTo=&amp;groups=-%40--%40--%40--%40--%40-" TargetMode="External"/><Relationship Id="rId13" Type="http://schemas.openxmlformats.org/officeDocument/2006/relationships/hyperlink" Target="https://www3.weforum.org/docs/WEF_TheGlobalCompetitivenessReport2019.pdf" TargetMode="External"/><Relationship Id="rId18" Type="http://schemas.openxmlformats.org/officeDocument/2006/relationships/hyperlink" Target="http://www.inovacionifond.rs/cir/o-fondu/rezultat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ecd-ilibrary.org/docserver/e4ae95d5-en.pdf?expires=1671486308&amp;id=id&amp;accname=guest&amp;checksum=DB17E4EB2E15ADE367B321E6D02EE177" TargetMode="External"/><Relationship Id="rId7" Type="http://schemas.openxmlformats.org/officeDocument/2006/relationships/endnotes" Target="endnotes.xml"/><Relationship Id="rId12" Type="http://schemas.openxmlformats.org/officeDocument/2006/relationships/hyperlink" Target="https://www3.weforum.org/docs/WEF_TheGlobalCompetitivenessReport2019.pdf" TargetMode="External"/><Relationship Id="rId17" Type="http://schemas.openxmlformats.org/officeDocument/2006/relationships/hyperlink" Target="https://view.officeapps.live.com/op/view.aspx?src=https%3A%2F%2Fwww3.weforum.org%2Fdocs%2FGCR2018%2FGCI_4.0_2018_Dataset.xlsx&amp;wdOrigin=BROWSELI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weforum.org/docs/WEF_TheGlobalCompetitivenessReport2019.pdf" TargetMode="External"/><Relationship Id="rId20" Type="http://schemas.openxmlformats.org/officeDocument/2006/relationships/hyperlink" Target="https://ec.europa.eu/docsroom/documents/504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1.worldbank.org/curated/en/688761571934946384/pdf/Doing-Business-2020-Comparing-Business-Regulation-in-190-Economie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weforum.org/docs/WEF_TheGlobalCompetitivenessReport2019.pdf" TargetMode="External"/><Relationship Id="rId23" Type="http://schemas.openxmlformats.org/officeDocument/2006/relationships/hyperlink" Target="https://www.oecd-ilibrary.org/docserver/e4ae95d5-en.pdf?expires=1671486308&amp;id=id&amp;accname=guest&amp;checksum=DB17E4EB2E15ADE367B321E6D02EE177" TargetMode="External"/><Relationship Id="rId10" Type="http://schemas.openxmlformats.org/officeDocument/2006/relationships/image" Target="media/image1.png"/><Relationship Id="rId19" Type="http://schemas.openxmlformats.org/officeDocument/2006/relationships/hyperlink" Target="https://www.oecd-ilibrary.org/docserver/e4ae95d5-en.pdf?expires=1671486308&amp;id=id&amp;accname=guest&amp;checksum=DB17E4EB2E15ADE367B321E6D02EE177" TargetMode="External"/><Relationship Id="rId4" Type="http://schemas.openxmlformats.org/officeDocument/2006/relationships/settings" Target="settings.xml"/><Relationship Id="rId9" Type="http://schemas.openxmlformats.org/officeDocument/2006/relationships/hyperlink" Target="http://we2.cekos.com/ce/index.xhtml?&amp;action=propis&amp;file=07810801.html&amp;path=07810801.html&amp;queries=radna+grupa+zakon+o+za--1--titi+nepokretnog+kulturnog+&amp;mark=false&amp;searchType=1&amp;regulationType=1&amp;domain=0&amp;myFavorites=false&amp;dateFrom=&amp;dateTo=&amp;groups=0-%40-0-%40--%40--%40-0-%40-0&amp;regExpToMark=" TargetMode="External"/><Relationship Id="rId14" Type="http://schemas.openxmlformats.org/officeDocument/2006/relationships/hyperlink" Target="https://www3.weforum.org/docs/WEF_TheGlobalCompetitivenessReport2019.pdf" TargetMode="External"/><Relationship Id="rId22" Type="http://schemas.openxmlformats.org/officeDocument/2006/relationships/hyperlink" Target="https://stats.oecd.org/Index.aspx?DataSetCode=SMES_SCOREBOAR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e2.cekos.com/ce/index.xhtml?&amp;action=propis&amp;file=10654901.html&amp;path=10654901.html&amp;queries=&amp;mark=false&amp;searchType=1&amp;regulationType=1&amp;domain=0&amp;myFavorites=true&amp;dateFrom=&amp;dateTo=&amp;groups=-%40--%40--%40--%40--%40-&amp;regExpToMark=" TargetMode="External"/><Relationship Id="rId13" Type="http://schemas.openxmlformats.org/officeDocument/2006/relationships/hyperlink" Target="http://we2.cekos.com/ce/index.xhtml?&amp;action=propis&amp;file=14546701.html&amp;path=14546701.html&amp;queries=&amp;mark=false&amp;searchType=1&amp;regulationType=1&amp;domain=0&amp;myFavorites=true&amp;dateFrom=&amp;dateTo=&amp;groups=-%40--%40--%40--%40--%40-&amp;regExpToMark=" TargetMode="External"/><Relationship Id="rId18" Type="http://schemas.openxmlformats.org/officeDocument/2006/relationships/hyperlink" Target="https://ec.europa.eu/docsroom/documents/46062" TargetMode="External"/><Relationship Id="rId3" Type="http://schemas.openxmlformats.org/officeDocument/2006/relationships/hyperlink" Target="http://we2.cekos.com/ce/index.xhtml?&amp;action=propis&amp;file=03688301.html&amp;path=03688301.html&amp;queries=&amp;mark=false&amp;searchType=1&amp;regulationType=1&amp;domain=0&amp;myFavorites=true&amp;dateFrom=&amp;dateTo=&amp;groups=-%40--%40--%40--%40--%40-&amp;regExpToMark=" TargetMode="External"/><Relationship Id="rId7" Type="http://schemas.openxmlformats.org/officeDocument/2006/relationships/hyperlink" Target="http://we2.cekos.com/ce/index.xhtml?&amp;action=propis&amp;file=10315501.html&amp;path=10315501.html&amp;queries=&amp;mark=false&amp;searchType=1&amp;regulationType=1&amp;domain=0&amp;myFavorites=true&amp;dateFrom=&amp;dateTo=&amp;groups=-%40--%40--%40--%40--%40-&amp;regExpToMark=" TargetMode="External"/><Relationship Id="rId12" Type="http://schemas.openxmlformats.org/officeDocument/2006/relationships/hyperlink" Target="http://we2.cekos.com/ce/index.xhtml?&amp;action=propis&amp;file=13394801.html&amp;path=13394801.html&amp;queries=&amp;mark=false&amp;searchType=1&amp;regulationType=1&amp;domain=0&amp;myFavorites=true&amp;dateFrom=&amp;dateTo=&amp;groups=-%40--%40--%40--%40--%40-&amp;regExpToMark=" TargetMode="External"/><Relationship Id="rId17" Type="http://schemas.openxmlformats.org/officeDocument/2006/relationships/hyperlink" Target="https://www.mfin.gov.rs/dokumenti2/fiskalnastrategija" TargetMode="External"/><Relationship Id="rId2" Type="http://schemas.openxmlformats.org/officeDocument/2006/relationships/hyperlink" Target="http://we2.cekos.com/ce/index.xhtml?&amp;action=propis&amp;file=03045601.html&amp;path=03045601.html&amp;queries=&amp;mark=false&amp;searchType=1&amp;regulationType=1&amp;domain=0&amp;myFavorites=true&amp;dateFrom=&amp;dateTo=&amp;groups=-%40--%40--%40--%40--%40-&amp;regExpToMark=" TargetMode="External"/><Relationship Id="rId16" Type="http://schemas.openxmlformats.org/officeDocument/2006/relationships/hyperlink" Target="https://neighbourhood-enlargement.ec.europa.eu/serbia-report-2022_en" TargetMode="External"/><Relationship Id="rId1" Type="http://schemas.openxmlformats.org/officeDocument/2006/relationships/hyperlink" Target="http://we2.cekos.com/ce/index.xhtml?&amp;action=propis&amp;file=03045501.html&amp;path=03045501.html&amp;queries=&amp;mark=false&amp;searchType=1&amp;regulationType=1&amp;domain=0&amp;myFavorites=true&amp;dateFrom=&amp;dateTo=&amp;groups=-%40--%40--%40--%40--%40-&amp;regExpToMark=" TargetMode="External"/><Relationship Id="rId6" Type="http://schemas.openxmlformats.org/officeDocument/2006/relationships/hyperlink" Target="http://we2.cekos.com/ce/index.xhtml?&amp;action=propis&amp;file=09886701.html&amp;path=09886701.html&amp;queries=&amp;mark=false&amp;searchType=1&amp;regulationType=1&amp;domain=0&amp;myFavorites=true&amp;dateFrom=&amp;dateTo=&amp;groups=-%40--%40--%40--%40--%40-&amp;regExpToMark=" TargetMode="External"/><Relationship Id="rId11" Type="http://schemas.openxmlformats.org/officeDocument/2006/relationships/hyperlink" Target="http://we2.cekos.com/ce/index.xhtml?&amp;action=propis&amp;file=13116801.html&amp;path=13116801.html&amp;queries=&amp;mark=false&amp;searchType=1&amp;regulationType=1&amp;domain=0&amp;myFavorites=true&amp;dateFrom=&amp;dateTo=&amp;groups=-%40--%40--%40--%40--%40-&amp;regExpToMark=" TargetMode="External"/><Relationship Id="rId5" Type="http://schemas.openxmlformats.org/officeDocument/2006/relationships/hyperlink" Target="http://we2.cekos.com/ce/index.xhtml?&amp;action=propis&amp;file=09016401.html&amp;path=09016401.html&amp;queries=&amp;mark=false&amp;searchType=1&amp;regulationType=1&amp;domain=0&amp;myFavorites=true&amp;dateFrom=&amp;dateTo=&amp;groups=-%40--%40--%40--%40--%40-&amp;regExpToMark=" TargetMode="External"/><Relationship Id="rId15" Type="http://schemas.openxmlformats.org/officeDocument/2006/relationships/hyperlink" Target="http://we2.cekos.com/ce/index.xhtml?&amp;action=propis&amp;file=17041801.html&amp;path=17041801.html&amp;queries=&amp;mark=false&amp;searchType=1&amp;regulationType=1&amp;domain=0&amp;myFavorites=true&amp;dateFrom=&amp;dateTo=&amp;groups=-%40--%40--%40--%40--%40-&amp;regExpToMark=" TargetMode="External"/><Relationship Id="rId10" Type="http://schemas.openxmlformats.org/officeDocument/2006/relationships/hyperlink" Target="http://we2.cekos.com/ce/index.xhtml?&amp;action=propis&amp;file=12303101.html&amp;path=12303101.html&amp;queries=&amp;mark=false&amp;searchType=1&amp;regulationType=1&amp;domain=0&amp;myFavorites=true&amp;dateFrom=&amp;dateTo=&amp;groups=-%40--%40--%40--%40--%40-&amp;regExpToMark=" TargetMode="External"/><Relationship Id="rId4" Type="http://schemas.openxmlformats.org/officeDocument/2006/relationships/hyperlink" Target="http://we2.cekos.com/ce/index.xhtml?&amp;action=propis&amp;file=05246701.html&amp;path=05246701.html&amp;queries=&amp;mark=false&amp;searchType=1&amp;regulationType=1&amp;domain=0&amp;myFavorites=true&amp;dateFrom=&amp;dateTo=&amp;groups=-%40--%40--%40--%40--%40-&amp;regExpToMark=" TargetMode="External"/><Relationship Id="rId9" Type="http://schemas.openxmlformats.org/officeDocument/2006/relationships/hyperlink" Target="http://we2.cekos.com/ce/index.xhtml?&amp;action=propis&amp;file=11363501.html&amp;path=11363501.html&amp;queries=&amp;mark=false&amp;searchType=1&amp;regulationType=1&amp;domain=0&amp;myFavorites=true&amp;dateFrom=&amp;dateTo=&amp;groups=-%40--%40--%40--%40--%40-&amp;regExpToMark=" TargetMode="External"/><Relationship Id="rId14" Type="http://schemas.openxmlformats.org/officeDocument/2006/relationships/hyperlink" Target="http://we2.cekos.com/ce/index.xhtml?&amp;action=propis&amp;file=15435101.html&amp;path=15435101.html&amp;queries=&amp;mark=false&amp;searchType=1&amp;regulationType=1&amp;domain=0&amp;myFavorites=true&amp;dateFrom=&amp;dateTo=&amp;groups=-%40--%40--%40--%40--%40-&amp;regExpTo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01AF-1015-404A-B92E-C070E586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19060</Words>
  <Characters>108644</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Radojević</dc:creator>
  <cp:keywords/>
  <dc:description/>
  <cp:lastModifiedBy>Bojan Grgić</cp:lastModifiedBy>
  <cp:revision>2</cp:revision>
  <cp:lastPrinted>2023-11-01T08:43:00Z</cp:lastPrinted>
  <dcterms:created xsi:type="dcterms:W3CDTF">2023-11-02T09:35:00Z</dcterms:created>
  <dcterms:modified xsi:type="dcterms:W3CDTF">2023-11-02T09:35:00Z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f0ee27253768ffe2ae76a0e24e5a3a7fd0e498eb12ac5531d3100764e2c48a89</vt:lpwstr>
  </property>
</Properties>
</file>