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1A72" w14:textId="364F1EDF" w:rsidR="009529DC" w:rsidRPr="00EA035C" w:rsidRDefault="00903BD0" w:rsidP="00CE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A035C">
        <w:rPr>
          <w:rFonts w:ascii="Times New Roman" w:hAnsi="Times New Roman" w:cs="Times New Roman"/>
          <w:sz w:val="24"/>
          <w:szCs w:val="24"/>
          <w:lang w:val="sr-Cyrl-CS"/>
        </w:rPr>
        <w:t>ИНВЕСТИЦИОНИ ПРОГРАМ</w:t>
      </w:r>
      <w:r w:rsidRPr="00EA035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hAnsi="Times New Roman" w:cs="Times New Roman"/>
          <w:sz w:val="24"/>
          <w:szCs w:val="24"/>
          <w:lang w:val="sr-Cyrl-CS" w:eastAsia="sr-Cyrl-CS"/>
        </w:rPr>
        <w:t>„ОПОРАВАК И РАЗВОЈ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ˮ</w:t>
      </w:r>
    </w:p>
    <w:p w14:paraId="7F40E4A5" w14:textId="77777777" w:rsidR="00903BD0" w:rsidRPr="00EA035C" w:rsidRDefault="00903BD0" w:rsidP="00216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4E866B" w14:textId="77777777" w:rsidR="009E1665" w:rsidRPr="00EA035C" w:rsidRDefault="007C3467" w:rsidP="00CE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I. ПРЕДМЕТ И ФИНАНСИЈСКИ ОКВИР</w:t>
      </w:r>
    </w:p>
    <w:p w14:paraId="12878C38" w14:textId="77777777" w:rsidR="009529DC" w:rsidRPr="00EA035C" w:rsidRDefault="009529DC" w:rsidP="00CE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1AEF8C" w14:textId="664D1E66" w:rsidR="009E1665" w:rsidRPr="00EA035C" w:rsidRDefault="009E1665" w:rsidP="00CE1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Инвестициони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ограм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„Опоравак и 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развој</w:t>
      </w:r>
      <w:r w:rsidR="00686FB1" w:rsidRPr="00EA035C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Програм) 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успоставља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нов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кредитн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линиј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</w:t>
      </w:r>
      <w:r w:rsidR="00675CD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повољних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кредитних средстава привредним субјектима 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>за реализацију</w:t>
      </w:r>
      <w:r w:rsidR="00675CD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инве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>стиционих улагања,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035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ће убрзати опоравак и раст привредне активности 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у Републици Србији</w:t>
      </w:r>
      <w:r w:rsidR="002D52E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у отежаним економским условима 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током и непосредно након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пандемиј</w:t>
      </w:r>
      <w:r w:rsidR="00D6419E" w:rsidRPr="00EA035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изазване вирусом SARS-CоV-2</w:t>
      </w:r>
      <w:r w:rsidR="007C3467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564B856" w14:textId="370CA810" w:rsidR="007C3467" w:rsidRPr="00EA035C" w:rsidRDefault="007C3467" w:rsidP="00094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спровођење </w:t>
      </w:r>
      <w:r w:rsidR="00B20DDC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</w:t>
      </w:r>
      <w:r w:rsidR="00D6419E" w:rsidRPr="00EA035C">
        <w:rPr>
          <w:rFonts w:ascii="Times New Roman" w:hAnsi="Times New Roman" w:cs="Times New Roman"/>
          <w:sz w:val="24"/>
          <w:szCs w:val="24"/>
          <w:lang w:val="sr-Cyrl-CS"/>
        </w:rPr>
        <w:t>обезбеђена су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из кредитне линије Европске инве</w:t>
      </w:r>
      <w:r w:rsidR="00DA6186" w:rsidRPr="00EA035C">
        <w:rPr>
          <w:rFonts w:ascii="Times New Roman" w:hAnsi="Times New Roman" w:cs="Times New Roman"/>
          <w:sz w:val="24"/>
          <w:szCs w:val="24"/>
          <w:lang w:val="sr-Cyrl-CS"/>
        </w:rPr>
        <w:t>стиционе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банке</w:t>
      </w:r>
      <w:r w:rsidR="00A2589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589D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(у даљем тексту: ЕИБ)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д</w:t>
      </w:r>
      <w:r w:rsidR="00FC2852" w:rsidRPr="00EA035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00D9" w:rsidRPr="00EA035C">
        <w:rPr>
          <w:rFonts w:ascii="Times New Roman" w:hAnsi="Times New Roman" w:cs="Times New Roman"/>
          <w:sz w:val="24"/>
          <w:szCs w:val="24"/>
          <w:lang w:val="sr-Cyrl-CS"/>
        </w:rPr>
        <w:t>90</w:t>
      </w:r>
      <w:r w:rsidR="00094DED" w:rsidRPr="00EA035C">
        <w:rPr>
          <w:rFonts w:ascii="Times New Roman" w:hAnsi="Times New Roman" w:cs="Times New Roman"/>
          <w:sz w:val="24"/>
          <w:szCs w:val="24"/>
          <w:lang w:val="sr-Cyrl-CS"/>
        </w:rPr>
        <w:t>.000.000,00 евра,</w:t>
      </w:r>
      <w:r w:rsidR="00D626D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Финансијским уговором</w:t>
      </w:r>
      <w:r w:rsidR="00EC2474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C0477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COVID-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19</w:t>
      </w:r>
      <w:r w:rsidR="00EC0477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подршка Влади Србије за мала и средња предузећа и </w:t>
      </w:r>
      <w:r w:rsidR="001B6593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EC0477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редузећа средње тржишне капитализације 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између </w:t>
      </w:r>
      <w:bookmarkStart w:id="1" w:name="_Hlk78375116"/>
      <w:r w:rsidR="00833D27" w:rsidRPr="00EA035C">
        <w:rPr>
          <w:rFonts w:ascii="Times New Roman" w:hAnsi="Times New Roman" w:cs="Times New Roman"/>
          <w:sz w:val="24"/>
          <w:szCs w:val="24"/>
          <w:lang w:val="sr-Cyrl-CS"/>
        </w:rPr>
        <w:t>Европске инвестиционе банке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bookmarkEnd w:id="1"/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686FB1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 Србије,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који је </w:t>
      </w:r>
      <w:r w:rsidR="00833D27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потврђен Законом о потврђивању Финансијског уговора COVID-19 подршка Влади Србије за мала и средња предузећа и предузећа средње тржишне капитализације између </w:t>
      </w:r>
      <w:r w:rsidR="00833D27" w:rsidRPr="00EA035C">
        <w:rPr>
          <w:rFonts w:ascii="Times New Roman" w:hAnsi="Times New Roman" w:cs="Times New Roman"/>
          <w:sz w:val="24"/>
          <w:szCs w:val="24"/>
          <w:lang w:val="sr-Cyrl-CS"/>
        </w:rPr>
        <w:t>Европске инвестиционе банке</w:t>
      </w:r>
      <w:r w:rsidR="00833D27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Републике Србије (</w:t>
      </w:r>
      <w:r w:rsidR="00D626D6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„</w:t>
      </w:r>
      <w:r w:rsidR="00D626D6" w:rsidRPr="00EA035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  <w:lang w:val="sr-Cyrl-CS"/>
        </w:rPr>
        <w:t>Службени гласник</w:t>
      </w:r>
      <w:r w:rsidR="00D626D6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 РС − </w:t>
      </w:r>
      <w:r w:rsidR="00D626D6" w:rsidRPr="00EA035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  <w:lang w:val="sr-Cyrl-CS"/>
        </w:rPr>
        <w:t>Међународни уговори</w:t>
      </w:r>
      <w:r w:rsidR="00686FB1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”</w:t>
      </w:r>
      <w:r w:rsidR="00D626D6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бр</w:t>
      </w:r>
      <w:r w:rsidR="00833D27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ој</w:t>
      </w:r>
      <w:r w:rsidR="00D626D6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15/21</w:t>
      </w:r>
      <w:r w:rsidR="00833D27" w:rsidRPr="00EA035C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4353B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Допунским писмом уз Финансијски уговор број 92.618</w:t>
      </w:r>
      <w:r w:rsidR="00EC2474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(у даљем тексту</w:t>
      </w:r>
      <w:r w:rsidR="00833D27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EC2474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Финансијски уговор)</w:t>
      </w:r>
      <w:r w:rsidR="00D626D6" w:rsidRPr="00EA035C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094DE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као и из средстава Фонда за развој Републике Србије (у даљем тексту: Фонд) у износу од 100.000.000</w:t>
      </w:r>
      <w:r w:rsidR="001B6593" w:rsidRPr="00EA035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94DE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14:paraId="24007311" w14:textId="16C78DB6" w:rsidR="008E6953" w:rsidRPr="00EA035C" w:rsidRDefault="008E6953" w:rsidP="000515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за реализацију </w:t>
      </w:r>
      <w:r w:rsidR="00F074DD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рограма представљају регионалну државну помоћ</w:t>
      </w:r>
      <w:r w:rsidR="00AE630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Уредбом </w:t>
      </w:r>
      <w:r w:rsidR="00794740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условима и критеријумима усклађености регионалне државне помоћи („Службени гласник РС”, број 23/21)</w:t>
      </w:r>
      <w:r w:rsidR="00E37C86" w:rsidRPr="00EA035C">
        <w:rPr>
          <w:rFonts w:ascii="Times New Roman" w:hAnsi="Times New Roman"/>
          <w:sz w:val="24"/>
          <w:szCs w:val="24"/>
          <w:lang w:val="sr-Cyrl-CS"/>
        </w:rPr>
        <w:t>, изузев у</w:t>
      </w:r>
      <w:r w:rsidR="00CC41AA" w:rsidRPr="00EA035C">
        <w:rPr>
          <w:rFonts w:ascii="Times New Roman" w:hAnsi="Times New Roman"/>
          <w:sz w:val="24"/>
          <w:szCs w:val="24"/>
          <w:lang w:val="sr-Cyrl-CS"/>
        </w:rPr>
        <w:t xml:space="preserve"> области транспорта и складиштења</w:t>
      </w:r>
      <w:r w:rsidR="00E37C86" w:rsidRPr="00EA035C">
        <w:rPr>
          <w:rFonts w:ascii="Times New Roman" w:hAnsi="Times New Roman"/>
          <w:sz w:val="24"/>
          <w:szCs w:val="24"/>
          <w:lang w:val="sr-Cyrl-CS"/>
        </w:rPr>
        <w:t>, где средства представљају de minimis државну помоћ</w:t>
      </w:r>
      <w:r w:rsidR="00794740" w:rsidRPr="00EA03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4740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помоћ у складу са Уредбом о правилима </w:t>
      </w:r>
      <w:r w:rsidR="00134A3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условима за д</w:t>
      </w:r>
      <w:r w:rsidR="00F42E33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оделу помоћи мале вредности  (</w:t>
      </w:r>
      <w:r w:rsidR="00134A3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de </w:t>
      </w:r>
      <w:r w:rsidR="00BC46B7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minimis помоћи</w:t>
      </w:r>
      <w:r w:rsidR="00F42E33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BC46B7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(„Службени гласник РС”, број 23/21)</w:t>
      </w:r>
      <w:r w:rsidR="00AE630B" w:rsidRPr="00EA035C">
        <w:rPr>
          <w:rFonts w:ascii="Times New Roman" w:hAnsi="Times New Roman"/>
          <w:sz w:val="24"/>
          <w:szCs w:val="24"/>
          <w:lang w:val="sr-Cyrl-CS"/>
        </w:rPr>
        <w:t>.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3848" w:rsidRPr="00EA035C">
        <w:rPr>
          <w:rFonts w:ascii="Times New Roman" w:hAnsi="Times New Roman"/>
          <w:sz w:val="24"/>
          <w:szCs w:val="24"/>
          <w:lang w:val="sr-Cyrl-CS"/>
        </w:rPr>
        <w:t>Утврђивање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 xml:space="preserve"> оправданих трошкова, инте</w:t>
      </w:r>
      <w:r w:rsidR="00EA035C">
        <w:rPr>
          <w:rFonts w:ascii="Times New Roman" w:hAnsi="Times New Roman"/>
          <w:sz w:val="24"/>
          <w:szCs w:val="24"/>
          <w:lang w:val="sr-Cyrl-CS"/>
        </w:rPr>
        <w:t>н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>зитета</w:t>
      </w:r>
      <w:r w:rsidR="00833D27" w:rsidRPr="00EA035C">
        <w:rPr>
          <w:rFonts w:ascii="Times New Roman" w:hAnsi="Times New Roman"/>
          <w:sz w:val="24"/>
          <w:szCs w:val="24"/>
          <w:lang w:val="sr-Cyrl-CS"/>
        </w:rPr>
        <w:t xml:space="preserve"> државне помоћи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 xml:space="preserve"> и услова за доделу средстава, </w:t>
      </w:r>
      <w:r w:rsidR="00693848" w:rsidRPr="00EA035C">
        <w:rPr>
          <w:rFonts w:ascii="Times New Roman" w:hAnsi="Times New Roman"/>
          <w:sz w:val="24"/>
          <w:szCs w:val="24"/>
          <w:lang w:val="sr-Cyrl-CS"/>
        </w:rPr>
        <w:t>извршиће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="00693848" w:rsidRPr="00EA035C">
        <w:rPr>
          <w:rFonts w:ascii="Times New Roman" w:hAnsi="Times New Roman"/>
          <w:sz w:val="24"/>
          <w:szCs w:val="24"/>
          <w:lang w:val="sr-Cyrl-CS"/>
        </w:rPr>
        <w:t xml:space="preserve"> у складу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658A" w:rsidRPr="00EA035C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>прописи</w:t>
      </w:r>
      <w:r w:rsidR="0072658A" w:rsidRPr="00EA035C">
        <w:rPr>
          <w:rFonts w:ascii="Times New Roman" w:hAnsi="Times New Roman"/>
          <w:sz w:val="24"/>
          <w:szCs w:val="24"/>
          <w:lang w:val="sr-Cyrl-CS"/>
        </w:rPr>
        <w:t>ма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 xml:space="preserve"> којима је </w:t>
      </w:r>
      <w:r w:rsidR="00833D27" w:rsidRPr="00EA035C">
        <w:rPr>
          <w:rFonts w:ascii="Times New Roman" w:hAnsi="Times New Roman"/>
          <w:sz w:val="24"/>
          <w:szCs w:val="24"/>
          <w:lang w:val="sr-Cyrl-CS"/>
        </w:rPr>
        <w:t xml:space="preserve">уређена </w:t>
      </w:r>
      <w:r w:rsidR="00E16530" w:rsidRPr="00EA035C">
        <w:rPr>
          <w:rFonts w:ascii="Times New Roman" w:hAnsi="Times New Roman"/>
          <w:sz w:val="24"/>
          <w:szCs w:val="24"/>
          <w:lang w:val="sr-Cyrl-CS"/>
        </w:rPr>
        <w:t>државна помоћ.</w:t>
      </w:r>
    </w:p>
    <w:p w14:paraId="404B1304" w14:textId="7256D660" w:rsidR="008E6953" w:rsidRPr="00EA035C" w:rsidRDefault="008E6953" w:rsidP="00CE1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Програмом се утврђују циљеви, </w:t>
      </w:r>
      <w:r w:rsidR="00951434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и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намена средстава, </w:t>
      </w:r>
      <w:r w:rsidR="00951434" w:rsidRPr="00EA035C">
        <w:rPr>
          <w:rFonts w:ascii="Times New Roman" w:hAnsi="Times New Roman" w:cs="Times New Roman"/>
          <w:sz w:val="24"/>
          <w:szCs w:val="24"/>
          <w:lang w:val="sr-Cyrl-CS"/>
        </w:rPr>
        <w:t>услови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</w:t>
      </w:r>
      <w:r w:rsidR="00951434" w:rsidRPr="00EA035C">
        <w:rPr>
          <w:rFonts w:ascii="Times New Roman" w:hAnsi="Times New Roman" w:cs="Times New Roman"/>
          <w:sz w:val="24"/>
          <w:szCs w:val="24"/>
          <w:lang w:val="sr-Cyrl-CS"/>
        </w:rPr>
        <w:t>кредитних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средстава, финансијски оквир, начин реализације и праћење реализације Програма.</w:t>
      </w:r>
    </w:p>
    <w:p w14:paraId="086B1A1D" w14:textId="7654D3F2" w:rsidR="00A2589D" w:rsidRPr="00EA035C" w:rsidRDefault="00A2589D" w:rsidP="0069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Кредити који се финансирају из средстава ЕИБ морају да буду у складу са </w:t>
      </w:r>
      <w:r w:rsidR="006E5A6D" w:rsidRPr="00EA035C">
        <w:rPr>
          <w:rFonts w:ascii="Times New Roman" w:hAnsi="Times New Roman" w:cs="Times New Roman"/>
          <w:sz w:val="24"/>
          <w:szCs w:val="24"/>
          <w:lang w:val="sr-Cyrl-CS"/>
        </w:rPr>
        <w:t>Финансијским у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говором.</w:t>
      </w:r>
    </w:p>
    <w:p w14:paraId="1B255101" w14:textId="77777777" w:rsidR="008E6953" w:rsidRPr="00EA035C" w:rsidRDefault="008E6953" w:rsidP="00CE1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Програм спроводи Министарство привреде (у даљем тексту: Министарство) у сарадњи са Фондом.</w:t>
      </w:r>
    </w:p>
    <w:p w14:paraId="01A150F5" w14:textId="77777777" w:rsidR="008E6953" w:rsidRPr="00EA035C" w:rsidRDefault="008E6953" w:rsidP="00CE1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AB8652" w14:textId="77777777" w:rsidR="007C3467" w:rsidRPr="00EA035C" w:rsidRDefault="007C3467" w:rsidP="00CE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II. ЦИЉЕВИ</w:t>
      </w:r>
    </w:p>
    <w:p w14:paraId="634CBDEC" w14:textId="77777777" w:rsidR="00CE1F5B" w:rsidRPr="00EA035C" w:rsidRDefault="00CE1F5B" w:rsidP="00CE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1EECAD" w14:textId="4DB921B6" w:rsidR="007C3467" w:rsidRPr="00EA035C" w:rsidRDefault="007C3467" w:rsidP="00D17511">
      <w:pPr>
        <w:pStyle w:val="stil1tekst"/>
        <w:ind w:left="0" w:right="0" w:firstLine="720"/>
        <w:rPr>
          <w:lang w:val="sr-Cyrl-CS"/>
        </w:rPr>
      </w:pPr>
      <w:r w:rsidRPr="00EA035C">
        <w:rPr>
          <w:lang w:val="sr-Cyrl-CS"/>
        </w:rPr>
        <w:t>Основни циљеви Програма су да се</w:t>
      </w:r>
      <w:r w:rsidR="009F708E" w:rsidRPr="00EA035C">
        <w:rPr>
          <w:lang w:val="sr-Cyrl-CS"/>
        </w:rPr>
        <w:t xml:space="preserve"> кроз подршку за нова инвестициона улагања </w:t>
      </w:r>
      <w:r w:rsidR="00CF74F2" w:rsidRPr="00EA035C">
        <w:rPr>
          <w:lang w:val="sr-Cyrl-CS"/>
        </w:rPr>
        <w:t>подржи</w:t>
      </w:r>
      <w:r w:rsidR="009F708E" w:rsidRPr="00EA035C">
        <w:rPr>
          <w:lang w:val="sr-Cyrl-CS"/>
        </w:rPr>
        <w:t xml:space="preserve"> опоравак и развој </w:t>
      </w:r>
      <w:r w:rsidR="00E62419" w:rsidRPr="00EA035C">
        <w:rPr>
          <w:lang w:val="sr-Cyrl-CS"/>
        </w:rPr>
        <w:t>привредних субјеката</w:t>
      </w:r>
      <w:r w:rsidRPr="00EA035C">
        <w:rPr>
          <w:lang w:val="sr-Cyrl-CS"/>
        </w:rPr>
        <w:t xml:space="preserve"> у условима </w:t>
      </w:r>
      <w:r w:rsidR="009F708E" w:rsidRPr="00EA035C">
        <w:rPr>
          <w:lang w:val="sr-Cyrl-CS"/>
        </w:rPr>
        <w:t xml:space="preserve">током и након </w:t>
      </w:r>
      <w:r w:rsidRPr="00EA035C">
        <w:rPr>
          <w:lang w:val="sr-Cyrl-CS"/>
        </w:rPr>
        <w:t>пандемије изазване вирусом SARS-CоV-2</w:t>
      </w:r>
      <w:r w:rsidR="009F708E" w:rsidRPr="00EA035C">
        <w:rPr>
          <w:lang w:val="sr-Cyrl-CS"/>
        </w:rPr>
        <w:t>,</w:t>
      </w:r>
      <w:r w:rsidR="00931EA5" w:rsidRPr="00EA035C">
        <w:rPr>
          <w:lang w:val="sr-Cyrl-CS"/>
        </w:rPr>
        <w:t xml:space="preserve"> очува запосленост,</w:t>
      </w:r>
      <w:r w:rsidR="00675CDC" w:rsidRPr="00EA035C">
        <w:rPr>
          <w:lang w:val="sr-Cyrl-CS"/>
        </w:rPr>
        <w:t xml:space="preserve"> </w:t>
      </w:r>
      <w:r w:rsidR="00CF74F2" w:rsidRPr="00EA035C">
        <w:rPr>
          <w:lang w:val="sr-Cyrl-CS"/>
        </w:rPr>
        <w:t xml:space="preserve">подстакне </w:t>
      </w:r>
      <w:r w:rsidR="009F708E" w:rsidRPr="00EA035C">
        <w:rPr>
          <w:lang w:val="sr-Cyrl-CS"/>
        </w:rPr>
        <w:t xml:space="preserve">привредни развој на принципима одрживог развоја и унапреди конкурентност кроз улагања у </w:t>
      </w:r>
      <w:r w:rsidR="00D17511" w:rsidRPr="00EA035C">
        <w:rPr>
          <w:lang w:val="sr-Cyrl-CS"/>
        </w:rPr>
        <w:t>дигитализаци</w:t>
      </w:r>
      <w:r w:rsidR="009F708E" w:rsidRPr="00EA035C">
        <w:rPr>
          <w:lang w:val="sr-Cyrl-CS"/>
        </w:rPr>
        <w:t>ју и примену нових технологија.</w:t>
      </w:r>
    </w:p>
    <w:p w14:paraId="476A743A" w14:textId="77777777" w:rsidR="009529DC" w:rsidRPr="00EA035C" w:rsidRDefault="009529DC" w:rsidP="00CE1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F9A491" w14:textId="77777777" w:rsidR="009529DC" w:rsidRPr="00EA035C" w:rsidRDefault="009529DC" w:rsidP="00CE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III. КОРИСНИЦИ И НАМЕНА СРЕДСТАВА</w:t>
      </w:r>
    </w:p>
    <w:p w14:paraId="592B442A" w14:textId="77777777" w:rsidR="009529DC" w:rsidRPr="00EA035C" w:rsidRDefault="009529DC" w:rsidP="00CE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FAF869" w14:textId="22C0D78E" w:rsidR="00E800DB" w:rsidRPr="00EA035C" w:rsidRDefault="008D3DD8" w:rsidP="00E800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Право 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да конкуришу за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средстава по </w:t>
      </w:r>
      <w:r w:rsidR="00833D27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рограму имају привредн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D52E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субјекти</w:t>
      </w:r>
      <w:r w:rsidR="002109B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који имају мање од 250 запослених (са пуним радним временом)</w:t>
      </w:r>
      <w:r w:rsidR="00591B2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, као и </w:t>
      </w:r>
      <w:r w:rsidR="00304B0B" w:rsidRPr="00EA035C">
        <w:rPr>
          <w:rFonts w:ascii="Times New Roman" w:hAnsi="Times New Roman" w:cs="Times New Roman"/>
          <w:sz w:val="24"/>
          <w:szCs w:val="24"/>
          <w:lang w:val="sr-Cyrl-CS"/>
        </w:rPr>
        <w:t>привредни субјекти</w:t>
      </w:r>
      <w:r w:rsidR="00591B2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B22" w:rsidRPr="00EA035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средње тржишне капитализације</w:t>
      </w:r>
      <w:r w:rsidR="00E800D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109BD" w:rsidRPr="00EA035C">
        <w:rPr>
          <w:rFonts w:ascii="Times New Roman" w:hAnsi="Times New Roman" w:cs="Times New Roman"/>
          <w:sz w:val="24"/>
          <w:szCs w:val="24"/>
          <w:lang w:val="sr-Cyrl-CS"/>
        </w:rPr>
        <w:t>„MidCap”</w:t>
      </w:r>
      <w:r w:rsidR="00E800DB" w:rsidRPr="00EA035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109B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4B0B" w:rsidRPr="00EA035C">
        <w:rPr>
          <w:rFonts w:ascii="Times New Roman" w:hAnsi="Times New Roman" w:cs="Times New Roman"/>
          <w:sz w:val="24"/>
          <w:szCs w:val="24"/>
          <w:lang w:val="sr-Cyrl-CS"/>
        </w:rPr>
        <w:t>дефинисани</w:t>
      </w:r>
      <w:r w:rsidR="002109B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као предузећа са минимално 250 запослених, а мање од 3.000 запослених (са пуним радним временом)</w:t>
      </w:r>
      <w:r w:rsidR="00591B22" w:rsidRPr="00EA035C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су у приватном или задружном власништву</w:t>
      </w:r>
      <w:r w:rsidR="00591B2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регистровани у Агенцији за привредне регистре и другим </w:t>
      </w:r>
      <w:r w:rsidR="00833D27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одговарајућим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регистрима.</w:t>
      </w:r>
      <w:r w:rsidR="0001561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A9857C3" w14:textId="5B1A1EFA" w:rsidR="00E800DB" w:rsidRPr="00EA035C" w:rsidRDefault="00E800DB" w:rsidP="00E800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броју запослених утврђују се на основу евиденције Централног регистра </w:t>
      </w:r>
      <w:r w:rsidR="008D5F0D" w:rsidRPr="00EA035C">
        <w:rPr>
          <w:rFonts w:ascii="Times New Roman" w:hAnsi="Times New Roman" w:cs="Times New Roman"/>
          <w:sz w:val="24"/>
          <w:szCs w:val="24"/>
          <w:lang w:val="sr-Cyrl-CS"/>
        </w:rPr>
        <w:t>обавезног социјалног осигурања</w:t>
      </w:r>
      <w:r w:rsidR="008C384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других података.</w:t>
      </w:r>
    </w:p>
    <w:p w14:paraId="0C51406E" w14:textId="7418D0CC" w:rsidR="00CF74F2" w:rsidRPr="00EA035C" w:rsidRDefault="0072658A" w:rsidP="00D64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Приликом примене услова у вези са величином привред</w:t>
      </w:r>
      <w:r w:rsidR="00F42E33" w:rsidRPr="00EA035C">
        <w:rPr>
          <w:rFonts w:ascii="Times New Roman" w:hAnsi="Times New Roman" w:cs="Times New Roman"/>
          <w:sz w:val="24"/>
          <w:szCs w:val="24"/>
          <w:lang w:val="sr-Cyrl-CS"/>
        </w:rPr>
        <w:t>них субјеката дефинисаних 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рограмом, у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тврђивање величине привредног субјекта врши се према</w:t>
      </w:r>
      <w:r w:rsidR="00675CD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извршеном</w:t>
      </w:r>
      <w:r w:rsidR="00675CD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разврста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вању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 о рачуноводству</w:t>
      </w:r>
      <w:r w:rsidR="00833D27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1500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РС”, бр. 73/19 и 44/21 – др. закон)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, које је 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садржано у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последње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предат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м 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годишњем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финансијск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ом извештају. 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редузетни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који немају обавезу подношења финансијских извештаја за потребе </w:t>
      </w:r>
      <w:r w:rsidR="00051500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рограма сматрају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микро </w:t>
      </w:r>
      <w:r w:rsidR="00FC511A" w:rsidRPr="00EA035C">
        <w:rPr>
          <w:rFonts w:ascii="Times New Roman" w:hAnsi="Times New Roman" w:cs="Times New Roman"/>
          <w:sz w:val="24"/>
          <w:szCs w:val="24"/>
          <w:lang w:val="sr-Cyrl-CS"/>
        </w:rPr>
        <w:t>привредним субјектима</w:t>
      </w:r>
      <w:r w:rsidR="00FD3893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D52E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Услов за задруге је да је задруга ускладила своја акта, органе и пословање са Законом о задругама („Службени гласник РСˮ, број 112/15) и да се подвргла задружној ревизији у последње две године. </w:t>
      </w:r>
    </w:p>
    <w:p w14:paraId="41830A17" w14:textId="0B558D39" w:rsidR="00772327" w:rsidRPr="00EA035C" w:rsidRDefault="002502A8" w:rsidP="001245CC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649F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раво да конкуришу за 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средстава по </w:t>
      </w:r>
      <w:r w:rsidR="00051500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>рограму</w:t>
      </w:r>
      <w:r w:rsidR="00675CD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имају 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>привредни субјекти који обављају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 имају регистровану као </w:t>
      </w:r>
      <w:r w:rsidR="00911FDF" w:rsidRPr="00EA035C">
        <w:rPr>
          <w:rFonts w:ascii="Times New Roman" w:hAnsi="Times New Roman" w:cs="Times New Roman"/>
          <w:sz w:val="24"/>
          <w:szCs w:val="24"/>
          <w:lang w:val="sr-Cyrl-CS"/>
        </w:rPr>
        <w:t>претеж</w:t>
      </w:r>
      <w:r w:rsidR="00D71D57" w:rsidRPr="00EA035C">
        <w:rPr>
          <w:rFonts w:ascii="Times New Roman" w:hAnsi="Times New Roman" w:cs="Times New Roman"/>
          <w:sz w:val="24"/>
          <w:szCs w:val="24"/>
          <w:lang w:val="sr-Cyrl-CS"/>
        </w:rPr>
        <w:t>ну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делатност </w:t>
      </w:r>
      <w:r w:rsidR="00694B1D" w:rsidRPr="00EA035C">
        <w:rPr>
          <w:rFonts w:ascii="Times New Roman" w:hAnsi="Times New Roman" w:cs="Times New Roman"/>
          <w:sz w:val="24"/>
          <w:szCs w:val="24"/>
          <w:lang w:val="sr-Cyrl-CS"/>
        </w:rPr>
        <w:t>једну</w:t>
      </w:r>
      <w:r w:rsidR="0069225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C71411" w:rsidRPr="00EA035C">
        <w:rPr>
          <w:rFonts w:ascii="Times New Roman" w:hAnsi="Times New Roman" w:cs="Times New Roman"/>
          <w:sz w:val="24"/>
          <w:szCs w:val="24"/>
          <w:lang w:val="sr-Cyrl-CS"/>
        </w:rPr>
        <w:t>делатности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="0069225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Листе</w:t>
      </w:r>
      <w:r w:rsidR="0069225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делатности</w:t>
      </w:r>
      <w:r w:rsidR="00833D27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</w:t>
      </w:r>
      <w:r w:rsidR="00051500" w:rsidRPr="00EA035C">
        <w:rPr>
          <w:rFonts w:ascii="Times New Roman" w:hAnsi="Times New Roman" w:cs="Times New Roman"/>
          <w:sz w:val="24"/>
          <w:szCs w:val="24"/>
          <w:lang w:val="sr-Cyrl-CS"/>
        </w:rPr>
        <w:t>Инвестиционог програма</w:t>
      </w:r>
      <w:r w:rsidR="00334A9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„Опоравак и развој”</w:t>
      </w:r>
      <w:r w:rsidR="000456DF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F74F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26EAAD" w14:textId="33C445BA" w:rsidR="00DE3C18" w:rsidRPr="00EA035C" w:rsidRDefault="00F051EE" w:rsidP="003A0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Без обзира на прихватљивост финансирања у вези са претежном делатношћу, </w:t>
      </w:r>
      <w:r w:rsidR="000E3091" w:rsidRPr="00EA035C">
        <w:rPr>
          <w:rFonts w:ascii="Times New Roman" w:hAnsi="Times New Roman" w:cs="Times New Roman"/>
          <w:sz w:val="24"/>
          <w:szCs w:val="24"/>
          <w:lang w:val="sr-Cyrl-CS"/>
        </w:rPr>
        <w:t>средства 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рограма не могу користити привредни субјекти који, поред претежне делатности која је прихватљива, обављају и делатност која се односи на производњу и промет било ког производа или активности које се према прописима</w:t>
      </w:r>
      <w:r w:rsidR="0061354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или</w:t>
      </w:r>
      <w:r w:rsidR="0061354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потврђеним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међународним конвенцијама и споразумима сматрају забрањеним.</w:t>
      </w:r>
    </w:p>
    <w:p w14:paraId="7F05C2EA" w14:textId="7A27BDB8" w:rsidR="002A0A70" w:rsidRPr="00EA035C" w:rsidRDefault="00772327" w:rsidP="00AE6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 субјекти имају право да конкуришу за коришћење средстава по </w:t>
      </w:r>
      <w:r w:rsidR="00613549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рограму за следеће намене</w:t>
      </w:r>
      <w:r w:rsidR="002A0A70" w:rsidRPr="00EA035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1B138392" w14:textId="0E318780" w:rsidR="008B7B22" w:rsidRPr="00EA035C" w:rsidRDefault="008B7B22" w:rsidP="003A0042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куповину, изградњу, доградњу, реконструкцију, адаптацију, санацију, инвестиционо одржавање</w:t>
      </w:r>
      <w:r w:rsidR="004C684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51EE" w:rsidRPr="00EA035C">
        <w:rPr>
          <w:rFonts w:ascii="Times New Roman" w:hAnsi="Times New Roman" w:cs="Times New Roman"/>
          <w:sz w:val="24"/>
          <w:szCs w:val="24"/>
          <w:lang w:val="sr-Cyrl-CS" w:eastAsia="sr-Latn-CS"/>
        </w:rPr>
        <w:t>простора</w:t>
      </w:r>
      <w:r w:rsidR="00AE5E04" w:rsidRPr="00EA035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за обављање делатности</w:t>
      </w:r>
      <w:r w:rsidR="00F051EE" w:rsidRPr="00EA035C">
        <w:rPr>
          <w:rFonts w:ascii="Times New Roman" w:hAnsi="Times New Roman" w:cs="Times New Roman"/>
          <w:sz w:val="24"/>
          <w:szCs w:val="24"/>
          <w:lang w:val="sr-Cyrl-CS" w:eastAsia="sr-Latn-CS"/>
        </w:rPr>
        <w:t>, или</w:t>
      </w:r>
      <w:r w:rsidR="00772327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складишног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простора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смештајних капацитета у туризму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 куповине земљишта;</w:t>
      </w:r>
    </w:p>
    <w:p w14:paraId="56AB358E" w14:textId="3F5AC120" w:rsidR="00CF74F2" w:rsidRPr="00EA035C" w:rsidRDefault="008B7B22" w:rsidP="003A0042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куповин</w:t>
      </w:r>
      <w:r w:rsidR="006135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нове или половне</w:t>
      </w:r>
      <w:r w:rsidR="005D455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(до шест година старости)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опреме</w:t>
      </w:r>
      <w:r w:rsidR="00AE5E04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обављање делатности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укључујући алате и доставна возила као и друга транспортна средства</w:t>
      </w:r>
      <w:r w:rsidR="008A78C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 лаког теретног возила врст</w:t>
      </w:r>
      <w:r w:rsidR="006135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A78C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Н1</w:t>
      </w:r>
      <w:r w:rsidR="005D455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132674D" w14:textId="17AFCDA2" w:rsidR="008B7B22" w:rsidRPr="00EA035C" w:rsidRDefault="00CF74F2" w:rsidP="003A0042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куповин</w:t>
      </w:r>
      <w:r w:rsidR="006135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рачунарске опреме</w:t>
      </w:r>
      <w:r w:rsidR="005D455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5B198DE" w14:textId="4F2C93A1" w:rsidR="008B7B22" w:rsidRPr="00EA035C" w:rsidRDefault="008B7B22" w:rsidP="003A0042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нематеријална улагања (набавка софтвера)</w:t>
      </w:r>
      <w:r w:rsidR="005D455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68C4515" w14:textId="2B292566" w:rsidR="00CD30BC" w:rsidRPr="00EA035C" w:rsidRDefault="00CD30BC" w:rsidP="00F56F0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Имовина која се стиче улагањем мора бити нова, осим када имовину стичу микро, мала и средња правна лица.</w:t>
      </w:r>
    </w:p>
    <w:p w14:paraId="4CC041D5" w14:textId="180924CD" w:rsidR="00CF74F2" w:rsidRPr="00EA035C" w:rsidRDefault="0072658A" w:rsidP="00F56F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Оправдани </w:t>
      </w:r>
      <w:r w:rsidR="00772327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трошкови 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 вези са наведеном наменом обухватају набавну цену добара</w:t>
      </w:r>
      <w:r w:rsidR="00FE7FF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укључујући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трошкове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пореза на додату вредност, царина, 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транспорт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монтаж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обук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руковање,</w:t>
      </w:r>
      <w:r w:rsidR="00D14F4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су ови трошкови исказан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профактури</w:t>
      </w:r>
      <w:r w:rsidR="001035B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укључени у набавну цену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45C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3DD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06AA6272" w14:textId="77777777" w:rsidR="00CF74F2" w:rsidRPr="00EA035C" w:rsidRDefault="00CF74F2" w:rsidP="00CF74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Средства опредељена Програмом не могу се користити за:</w:t>
      </w:r>
    </w:p>
    <w:p w14:paraId="518F6FA0" w14:textId="4E706DA2" w:rsidR="00CF74F2" w:rsidRPr="00EA035C" w:rsidRDefault="00613549" w:rsidP="00F56F0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CF74F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уповину или изградњу објеката</w:t>
      </w:r>
      <w:r w:rsidR="00CD7BD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опреме</w:t>
      </w:r>
      <w:r w:rsidR="00CF74F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продаје или рентирања;</w:t>
      </w:r>
    </w:p>
    <w:p w14:paraId="06BA4085" w14:textId="6408AE22" w:rsidR="00FC511A" w:rsidRPr="00EA035C" w:rsidRDefault="00613549" w:rsidP="00F56F0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FC511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уповину </w:t>
      </w:r>
      <w:r w:rsidR="001A34F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пословног простора намењено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1A34F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обављ</w:t>
      </w:r>
      <w:r w:rsidR="001B659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1A34F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административних послова </w:t>
      </w:r>
      <w:r w:rsidR="001B659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(канцеларијски прос</w:t>
      </w:r>
      <w:r w:rsidR="001A34F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тор)</w:t>
      </w:r>
      <w:r w:rsidR="00D14F4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065EF705" w14:textId="3C0D4CD5" w:rsidR="00FE7FF8" w:rsidRPr="00EA035C" w:rsidRDefault="00613549" w:rsidP="00F56F0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CF74F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уповину других предузећа, осим у случају да се ради о чистој куповини објеката или опреме</w:t>
      </w:r>
      <w:r w:rsidR="0072658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249D74E" w14:textId="6EB924A1" w:rsidR="00CF74F2" w:rsidRPr="00EA035C" w:rsidRDefault="0072658A" w:rsidP="007265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п</w:t>
      </w:r>
      <w:r w:rsidR="00FE7FF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орез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FE7FF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додату вредност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царина, који спадају у оправдане трошкове, такође не могу бити финансирани средствима Програма, већ из сопственог учешћа</w:t>
      </w:r>
      <w:r w:rsidR="00D22D54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5D58C86" w14:textId="77777777" w:rsidR="00E34D7B" w:rsidRPr="00EA035C" w:rsidRDefault="00E34D7B" w:rsidP="00F6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7CCB90" w14:textId="7FAA889D" w:rsidR="00E34D7B" w:rsidRPr="00EA035C" w:rsidRDefault="00FE0417" w:rsidP="00E34D7B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Средства по П</w:t>
      </w:r>
      <w:r w:rsidR="00E34D7B" w:rsidRPr="00EA035C">
        <w:rPr>
          <w:rFonts w:ascii="Times New Roman" w:hAnsi="Times New Roman" w:cs="Times New Roman"/>
          <w:sz w:val="24"/>
          <w:szCs w:val="24"/>
          <w:lang w:val="sr-Cyrl-CS"/>
        </w:rPr>
        <w:t>рограму не могу се користити за рефундирање трошкова у оквиру</w:t>
      </w:r>
      <w:r w:rsidR="00A9058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4D7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активности које су биле започете или завршене пре </w:t>
      </w:r>
      <w:r w:rsidR="005B16E6" w:rsidRPr="00EA035C">
        <w:rPr>
          <w:rFonts w:ascii="Times New Roman" w:hAnsi="Times New Roman" w:cs="Times New Roman"/>
          <w:sz w:val="24"/>
          <w:szCs w:val="24"/>
          <w:lang w:val="sr-Cyrl-CS"/>
        </w:rPr>
        <w:t>подношења захтева за</w:t>
      </w:r>
      <w:r w:rsidR="00E34D7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кредитни</w:t>
      </w:r>
      <w:r w:rsidR="005B16E6" w:rsidRPr="00EA035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E34D7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</w:t>
      </w:r>
      <w:r w:rsidR="00A9058C" w:rsidRPr="00EA03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E34D7B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9058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привредног субјекта</w:t>
      </w:r>
      <w:r w:rsidR="00E34D7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Програмом.</w:t>
      </w:r>
    </w:p>
    <w:p w14:paraId="5A9A602D" w14:textId="77777777" w:rsidR="00E34D7B" w:rsidRPr="00EA035C" w:rsidRDefault="00E34D7B" w:rsidP="00E34D7B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688AC4" w14:textId="77777777" w:rsidR="003B5A39" w:rsidRPr="00EA035C" w:rsidRDefault="003B5A39" w:rsidP="00DE3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IV. УСЛОВИ </w:t>
      </w:r>
      <w:r w:rsidR="0070129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ОДОБРАВАЊА И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КОРИШЋЕЊА СРЕДСТАВА</w:t>
      </w:r>
    </w:p>
    <w:p w14:paraId="18A07B0A" w14:textId="77777777" w:rsidR="003B5A39" w:rsidRPr="00EA035C" w:rsidRDefault="003B5A39" w:rsidP="006E46A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</w:p>
    <w:p w14:paraId="5F9CEF98" w14:textId="2C4F601F" w:rsidR="0070129B" w:rsidRPr="00EA035C" w:rsidRDefault="0070129B" w:rsidP="00ED70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Кредити по </w:t>
      </w:r>
      <w:r w:rsidR="004C6D5A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рограму одобравају се у складу са условима дефи</w:t>
      </w:r>
      <w:r w:rsidR="00931A6B" w:rsidRPr="00EA035C">
        <w:rPr>
          <w:rFonts w:ascii="Times New Roman" w:hAnsi="Times New Roman" w:cs="Times New Roman"/>
          <w:sz w:val="24"/>
          <w:szCs w:val="24"/>
          <w:lang w:val="sr-Cyrl-CS"/>
        </w:rPr>
        <w:t>нисаним</w:t>
      </w:r>
      <w:r w:rsidR="00F0463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9E3D4A" w:rsidRPr="00EA035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31A6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За све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услов</w:t>
      </w:r>
      <w:r w:rsidR="00931A6B" w:rsidRPr="00EA035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нису дефинисани </w:t>
      </w:r>
      <w:r w:rsidR="004C6D5A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рограмом, примењују се одредбе </w:t>
      </w:r>
      <w:r w:rsidR="00BD6759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рограма Фонда.</w:t>
      </w:r>
    </w:p>
    <w:p w14:paraId="22A08691" w14:textId="0A9BCC74" w:rsidR="009E3D4A" w:rsidRPr="00EA035C" w:rsidRDefault="007B2844" w:rsidP="00F060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предузећа средње тржишне капитализације могуће је одобрити </w:t>
      </w:r>
      <w:r w:rsidR="00C15DB5" w:rsidRPr="00EA035C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30% укупно планираних средстава по </w:t>
      </w:r>
      <w:r w:rsidR="004C6D5A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рограму.</w:t>
      </w:r>
      <w:r w:rsidRPr="00EA035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14:paraId="0357352E" w14:textId="333E945F" w:rsidR="00931A6B" w:rsidRPr="00EA035C" w:rsidRDefault="00931A6B" w:rsidP="00F060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sr-Cyrl-CS"/>
        </w:rPr>
      </w:pPr>
      <w:r w:rsidRPr="00EA03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sr-Cyrl-CS"/>
        </w:rPr>
        <w:t xml:space="preserve">Кредити по </w:t>
      </w:r>
      <w:r w:rsidR="004C6D5A" w:rsidRPr="00EA03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sr-Cyrl-CS"/>
        </w:rPr>
        <w:t>П</w:t>
      </w:r>
      <w:r w:rsidRPr="00EA03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sr-Cyrl-CS"/>
        </w:rPr>
        <w:t>рограму одобраваће се под следећим условима:</w:t>
      </w:r>
    </w:p>
    <w:p w14:paraId="439FEAA5" w14:textId="02CEC59A" w:rsidR="00931A6B" w:rsidRPr="00EA035C" w:rsidRDefault="00613549" w:rsidP="00F06072">
      <w:pPr>
        <w:pStyle w:val="ListParagraph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31EA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аксималан износ кредита: 2</w:t>
      </w:r>
      <w:r w:rsidR="0069384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931EA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0.000.000,00 динара;</w:t>
      </w:r>
    </w:p>
    <w:p w14:paraId="293F2834" w14:textId="517F4431" w:rsidR="00911FDF" w:rsidRPr="00EA035C" w:rsidRDefault="004C6D5A" w:rsidP="00F06072">
      <w:pPr>
        <w:pStyle w:val="ListParagraph"/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911FD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инимални </w:t>
      </w:r>
      <w:r w:rsidR="00D14F4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 кредита: 1.000.000,00 динара;</w:t>
      </w:r>
    </w:p>
    <w:p w14:paraId="68F999F9" w14:textId="1A67DBD4" w:rsidR="001035BB" w:rsidRPr="00EA035C" w:rsidRDefault="004C6D5A" w:rsidP="00F06072">
      <w:pPr>
        <w:pStyle w:val="ListParagraph"/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>исина одобреног кредита не може бити већа од 75%</w:t>
      </w:r>
      <w:r w:rsidR="00DE4B5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оправданих трошкова из 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предрачунске вредности </w:t>
      </w:r>
      <w:r w:rsidR="00931EA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инвестиционог улагања; </w:t>
      </w:r>
    </w:p>
    <w:p w14:paraId="272E5140" w14:textId="1D691E32" w:rsidR="00F333E7" w:rsidRPr="00EA035C" w:rsidRDefault="004C6D5A" w:rsidP="00F06072">
      <w:pPr>
        <w:pStyle w:val="ListParagraph"/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ок </w:t>
      </w:r>
      <w:r w:rsidR="00931EA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отплате кредита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14:paraId="66F06FCE" w14:textId="1B40CA3B" w:rsidR="00F333E7" w:rsidRPr="00EA035C" w:rsidRDefault="00931A6B" w:rsidP="00F06072">
      <w:pPr>
        <w:pStyle w:val="ListParagraph"/>
        <w:numPr>
          <w:ilvl w:val="0"/>
          <w:numId w:val="37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12 година у оквиру кога је грејс период</w:t>
      </w:r>
      <w:r w:rsidR="004C684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33E7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="00F333E7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47B1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3D2E46CE" w14:textId="525749AC" w:rsidR="00F333E7" w:rsidRPr="00EA035C" w:rsidRDefault="00C823C5" w:rsidP="00F06072">
      <w:pPr>
        <w:pStyle w:val="ListParagraph"/>
        <w:numPr>
          <w:ilvl w:val="0"/>
          <w:numId w:val="37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</w:t>
      </w:r>
      <w:r w:rsidR="00F333E7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4788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година</w:t>
      </w:r>
      <w:r w:rsidR="00F333E7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кога је грејс период до једне године</w:t>
      </w:r>
      <w:r w:rsidR="00A52D64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A94E416" w14:textId="0184797B" w:rsidR="00931EA5" w:rsidRPr="00EA035C" w:rsidRDefault="00547B11" w:rsidP="00F06072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У случају превремене отплате кредита не обрачунава се накнада</w:t>
      </w:r>
      <w:r w:rsidR="00A52D64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CFEF8C8" w14:textId="64B83742" w:rsidR="00931EA5" w:rsidRPr="00EA035C" w:rsidRDefault="004C6D5A" w:rsidP="00F06072">
      <w:pPr>
        <w:pStyle w:val="ListParagraph"/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333E7" w:rsidRPr="00EA035C">
        <w:rPr>
          <w:rFonts w:ascii="Times New Roman" w:hAnsi="Times New Roman" w:cs="Times New Roman"/>
          <w:sz w:val="24"/>
          <w:szCs w:val="24"/>
          <w:lang w:val="sr-Cyrl-CS"/>
        </w:rPr>
        <w:t>колико је рок отплате 12 година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1FB9" w:rsidRPr="00EA035C" w:rsidDel="008B1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>аматна стопа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>, уз примену валутне клаузуле:</w:t>
      </w:r>
    </w:p>
    <w:p w14:paraId="3D0477F0" w14:textId="52A2882C" w:rsidR="008B1FB9" w:rsidRPr="00EA035C" w:rsidRDefault="00F333E7" w:rsidP="00A52D64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>% годишње</w:t>
      </w:r>
      <w:r w:rsidR="007C47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4B25" w:rsidRPr="00EA035C">
        <w:rPr>
          <w:rFonts w:ascii="Times New Roman" w:hAnsi="Times New Roman" w:cs="Times New Roman"/>
          <w:sz w:val="24"/>
          <w:szCs w:val="24"/>
          <w:lang w:val="sr-Cyrl-CS"/>
        </w:rPr>
        <w:t>за сва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обезбеђења</w:t>
      </w:r>
      <w:r w:rsidR="00A52D64" w:rsidRPr="00EA03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F8A2BA5" w14:textId="51771653" w:rsidR="00931EA5" w:rsidRPr="00EA035C" w:rsidRDefault="004C6D5A" w:rsidP="00A52D64">
      <w:pPr>
        <w:pStyle w:val="ListParagraph"/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C47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колико је рок отплате </w:t>
      </w:r>
      <w:r w:rsidR="00613549" w:rsidRPr="00EA035C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7C4788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година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1FB9" w:rsidRPr="00EA035C" w:rsidDel="008B1F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>каматна стопа је, уз примену валутне клаузуле:</w:t>
      </w:r>
      <w:r w:rsidR="00A52D64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>0,</w:t>
      </w:r>
      <w:r w:rsidR="007C4788" w:rsidRPr="00EA035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% </w:t>
      </w:r>
      <w:r w:rsidR="007C4788" w:rsidRPr="00EA035C">
        <w:rPr>
          <w:rFonts w:ascii="Times New Roman" w:hAnsi="Times New Roman" w:cs="Times New Roman"/>
          <w:sz w:val="24"/>
          <w:szCs w:val="24"/>
          <w:lang w:val="sr-Cyrl-CS"/>
        </w:rPr>
        <w:t>годишње</w:t>
      </w:r>
      <w:r w:rsidR="008B1FB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за сва средства обезбеђења</w:t>
      </w:r>
      <w:r w:rsidR="00A52D64" w:rsidRPr="00EA03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2B921FF" w14:textId="3C36075F" w:rsidR="00931A6B" w:rsidRPr="00EA035C" w:rsidRDefault="004C6D5A" w:rsidP="00F06072">
      <w:pPr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ачин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отплате кредита: месечни ануитети;</w:t>
      </w:r>
    </w:p>
    <w:p w14:paraId="23726417" w14:textId="7FC59D73" w:rsidR="00120800" w:rsidRPr="00EA035C" w:rsidRDefault="004C6D5A" w:rsidP="00F06072">
      <w:pPr>
        <w:numPr>
          <w:ilvl w:val="0"/>
          <w:numId w:val="23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грејс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периоду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интеркаларна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камата</w:t>
      </w:r>
      <w:r w:rsidR="00675CD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1A6B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обрачунава и плаћа месечно</w:t>
      </w:r>
      <w:r w:rsidR="00D14F4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6D1EDBD" w14:textId="01547EA4" w:rsidR="00B55BF2" w:rsidRPr="00EA035C" w:rsidRDefault="00120800" w:rsidP="0065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</w:t>
      </w:r>
      <w:r w:rsidR="00DE4B5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током реализације Програма, услед промене на тржишту, ЕИБ одреди вишу каматну стопу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којој се задужује Република Србија</w:t>
      </w:r>
      <w:r w:rsidR="00DE4B5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тако да она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буде виша од каматних стопа</w:t>
      </w:r>
      <w:r w:rsidR="006135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одређених Програмом</w:t>
      </w:r>
      <w:r w:rsidR="00DE4B5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према привредним субјектима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Фонд </w:t>
      </w:r>
      <w:r w:rsidR="00DE4B5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ће каматне стопе</w:t>
      </w:r>
      <w:r w:rsidR="00E722F4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одређене Програмом</w:t>
      </w:r>
      <w:r w:rsidR="00DE4B5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кориговати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DE4B5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ту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разлику.</w:t>
      </w:r>
    </w:p>
    <w:p w14:paraId="62C23DC5" w14:textId="40B953C5" w:rsidR="00B55BF2" w:rsidRPr="00EA035C" w:rsidRDefault="00B55BF2" w:rsidP="00216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Инструменти обезбеђења уредног враћања кредита за кредите којима је рок</w:t>
      </w:r>
      <w:r w:rsidR="007A390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отплате  12 година су:</w:t>
      </w:r>
    </w:p>
    <w:p w14:paraId="4FA9716C" w14:textId="5FD41F49" w:rsidR="00673553" w:rsidRPr="00EA035C" w:rsidRDefault="00673553" w:rsidP="00650DDC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гаранција или авалиране менице пословне банке; и/или</w:t>
      </w:r>
    </w:p>
    <w:p w14:paraId="6CE0AFCC" w14:textId="680D9B97" w:rsidR="00673553" w:rsidRPr="00EA035C" w:rsidRDefault="00673553" w:rsidP="00650DDC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хипотека првог реда на непокретностима; у односу на тржишну вреднос</w:t>
      </w:r>
      <w:r w:rsidR="00F753F6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9E1D86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хипотековане непокретности, зависно од врсте те непокретности, висина</w:t>
      </w:r>
      <w:r w:rsidR="009E1D86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одобреног кредита</w:t>
      </w:r>
      <w:r w:rsidR="00F753F6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увећан</w:t>
      </w:r>
      <w:r w:rsidR="007403F0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9E1D86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припадајућу камату и трошкове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може износити:</w:t>
      </w:r>
    </w:p>
    <w:p w14:paraId="08BBF5CC" w14:textId="77777777" w:rsidR="00673553" w:rsidRPr="00EA035C" w:rsidRDefault="00673553" w:rsidP="00B949A0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70% тржишне вредности стамбеног простора (станови и породичне куће);</w:t>
      </w:r>
    </w:p>
    <w:p w14:paraId="6B68442F" w14:textId="450EF6B9" w:rsidR="00673553" w:rsidRPr="00EA035C" w:rsidRDefault="00673553" w:rsidP="00B949A0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60% тржишне вредности пословних зграда и пословног простора (канцеларије, управне зграде, угоститељски и трговачки објекти, хладњаче, </w:t>
      </w:r>
      <w:r w:rsidR="00885EF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бензинске пумпе и сл</w:t>
      </w:r>
      <w:r w:rsidR="00AB319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1A8B2A7A" w14:textId="40FA84F8" w:rsidR="00673553" w:rsidRPr="00EA035C" w:rsidRDefault="00673553" w:rsidP="00B949A0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50% тржишне вредности производних и индустријских објеката, (хала, магацина, млинова, силоса,</w:t>
      </w:r>
      <w:r w:rsidR="00521AB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гаража, помоћних објеката и сл</w:t>
      </w:r>
      <w:r w:rsidR="00AB319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34CE87C3" w14:textId="77777777" w:rsidR="00673553" w:rsidRPr="00EA035C" w:rsidRDefault="00673553" w:rsidP="00B949A0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50% тржишне вредности градског грађевинског земљишта;</w:t>
      </w:r>
    </w:p>
    <w:p w14:paraId="5CA8DB7F" w14:textId="585C08DC" w:rsidR="00B55BF2" w:rsidRPr="00EA035C" w:rsidRDefault="00673553" w:rsidP="00B949A0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30% тржишне вредности грађевинског земљишта</w:t>
      </w:r>
      <w:r w:rsidR="00B6403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2E3BC40" w14:textId="269B9362" w:rsidR="00AE4ECE" w:rsidRPr="00EA035C" w:rsidRDefault="00B64031" w:rsidP="00D20404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2" w:name="_Hlk97805388"/>
      <w:r w:rsidRPr="00EA035C">
        <w:rPr>
          <w:rFonts w:ascii="Times New Roman" w:hAnsi="Times New Roman" w:cs="Times New Roman"/>
          <w:sz w:val="24"/>
          <w:szCs w:val="24"/>
          <w:lang w:val="sr-Cyrl-CS"/>
        </w:rPr>
        <w:t>до 30% тржишне вредности пољопривредног земљишта.</w:t>
      </w:r>
      <w:bookmarkEnd w:id="2"/>
    </w:p>
    <w:p w14:paraId="32DBCA49" w14:textId="33435EBF" w:rsidR="00AE4ECE" w:rsidRPr="00EA035C" w:rsidRDefault="00AE4ECE" w:rsidP="00216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Инструменти обезбеђења уредног враћања кредита за кредите којима је рок</w:t>
      </w:r>
      <w:r w:rsidR="007A390C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отплате</w:t>
      </w:r>
      <w:r w:rsidR="004C6D5A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35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година су:</w:t>
      </w:r>
    </w:p>
    <w:p w14:paraId="34EC2FF5" w14:textId="33F5E481" w:rsidR="00AE4ECE" w:rsidRPr="00EA035C" w:rsidRDefault="00AE4ECE" w:rsidP="00D20404">
      <w:pPr>
        <w:pStyle w:val="ListParagraph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гаранција или авалиране менице пословне банке; и/или</w:t>
      </w:r>
    </w:p>
    <w:p w14:paraId="5F950321" w14:textId="3931B6B3" w:rsidR="00AE4ECE" w:rsidRPr="00EA035C" w:rsidRDefault="00AE4ECE" w:rsidP="00D20404">
      <w:pPr>
        <w:pStyle w:val="ListParagraph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хипотека првог реда на непокретностима; у односу на тржишну вредност</w:t>
      </w:r>
      <w:r w:rsidR="00E2256D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хипотековане непокретности, зависно од врсте те непокретности, висина</w:t>
      </w:r>
      <w:r w:rsidR="00E2256D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одобреног кредита </w:t>
      </w:r>
      <w:r w:rsidR="00B8286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увећана за припадајуће камате и трошкове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може износити:</w:t>
      </w:r>
    </w:p>
    <w:p w14:paraId="53A2EDCC" w14:textId="77777777" w:rsidR="00AE4ECE" w:rsidRPr="00EA035C" w:rsidRDefault="00AE4ECE" w:rsidP="00D3770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70% тржишне вредности стамбеног простора (станови и породичне куће);</w:t>
      </w:r>
    </w:p>
    <w:p w14:paraId="1C81439A" w14:textId="77777777" w:rsidR="00AE4ECE" w:rsidRPr="00EA035C" w:rsidRDefault="00AE4ECE" w:rsidP="00D3770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60% тржишне вредности пословних зграда и пословног простора (канцеларије, управне зграде, угоститељски и трговачки објекти, хладњаче, бензинске пумпе и сл.);</w:t>
      </w:r>
    </w:p>
    <w:p w14:paraId="731A9967" w14:textId="77777777" w:rsidR="00AE4ECE" w:rsidRPr="00EA035C" w:rsidRDefault="00AE4ECE" w:rsidP="00D3770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50% тржишне вредности производних и индустријских објеката, (хала, магацина, млинова, силоса, гаража, помоћних објеката и сл.);</w:t>
      </w:r>
    </w:p>
    <w:p w14:paraId="55B706D5" w14:textId="77777777" w:rsidR="00AE4ECE" w:rsidRPr="00EA035C" w:rsidRDefault="00AE4ECE" w:rsidP="00D3770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50% тржишне вредности градског грађевинског земљишта;</w:t>
      </w:r>
    </w:p>
    <w:p w14:paraId="75A2C48D" w14:textId="77777777" w:rsidR="00B8286F" w:rsidRPr="00EA035C" w:rsidRDefault="00AE4ECE" w:rsidP="00D3770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30% тржишне вредности грађевинског земљишта</w:t>
      </w:r>
      <w:r w:rsidR="00B8286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5E54A39" w14:textId="1C5E90A0" w:rsidR="00B8286F" w:rsidRPr="00EA035C" w:rsidRDefault="00B8286F" w:rsidP="00D3770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30% тржишне вредности пољопривредног земљишта</w:t>
      </w:r>
      <w:r w:rsidR="00AB319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и/или </w:t>
      </w:r>
    </w:p>
    <w:p w14:paraId="17E24BCC" w14:textId="6CCC2D6C" w:rsidR="00AE4ECE" w:rsidRPr="00EA035C" w:rsidRDefault="00AE4ECE" w:rsidP="00D20404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залога на постојећој производној опреми и другим покретним стварима у</w:t>
      </w:r>
      <w:r w:rsidR="00B8286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односу на чију тржишну вредност висина одобреног кредита</w:t>
      </w:r>
      <w:r w:rsidR="00B8286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увећана за припадајуће камате и трошкове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може износити:</w:t>
      </w:r>
    </w:p>
    <w:p w14:paraId="59E94D8A" w14:textId="708FB559" w:rsidR="00B8286F" w:rsidRPr="00EA035C" w:rsidRDefault="00AE4ECE" w:rsidP="00D20404">
      <w:pPr>
        <w:pStyle w:val="ListParagraph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50% тржишне вредности нове о</w:t>
      </w:r>
      <w:r w:rsidR="00AB3192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преме и других покретних ствари;</w:t>
      </w:r>
    </w:p>
    <w:p w14:paraId="7768F050" w14:textId="1AA285D9" w:rsidR="00AE4ECE" w:rsidRPr="00EA035C" w:rsidRDefault="00AE4ECE" w:rsidP="00D20404">
      <w:pPr>
        <w:pStyle w:val="ListParagraph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до 30% тржишне вредности опреме и других покретних ствари старијих од две</w:t>
      </w:r>
      <w:r w:rsidR="00B8286F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r w:rsidR="003A57F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E30A992" w14:textId="1EA088FD" w:rsidR="00AE4ECE" w:rsidRPr="00EA035C" w:rsidRDefault="00B8286F" w:rsidP="007726A3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меница и менично овлашћење </w:t>
      </w:r>
      <w:r w:rsidR="0095590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солидарног 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јемца, привредног субјекта</w:t>
      </w:r>
      <w:r w:rsidR="00955903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(овај инструмент обезбеђења не може бити самосталан већ иде уз неки већ наведени инструмент обезбеђења)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9A7DAE7" w14:textId="3A58A36E" w:rsidR="007726A3" w:rsidRPr="00EA035C" w:rsidRDefault="007726A3" w:rsidP="00E22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обавезан да уз било кој</w:t>
      </w:r>
      <w:r w:rsidR="003257DD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наведених инструмената обезбеђења достави и сопствене менице са меничним овлашћењем</w:t>
      </w:r>
      <w:r w:rsidR="003257DD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E4ECE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да, као </w:t>
      </w:r>
      <w:r w:rsidR="0057261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додатно </w:t>
      </w:r>
      <w:r w:rsidR="00AE4ECE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обезбеђење кредита успостави залогу/хипотеку на предмету инвестиције.</w:t>
      </w:r>
    </w:p>
    <w:p w14:paraId="76A0B565" w14:textId="2F23EA3A" w:rsidR="00120800" w:rsidRPr="00EA035C" w:rsidRDefault="00AE4ECE" w:rsidP="006C4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 који се обезбеђује представља износ главнице кредита увећан за припадајуће камате и трошкове.</w:t>
      </w:r>
    </w:p>
    <w:p w14:paraId="114BC885" w14:textId="406D95D8" w:rsidR="00971CDB" w:rsidRPr="00EA035C" w:rsidRDefault="00ED704D" w:rsidP="006C4F86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Кредит може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бити одобрен и привредном субјекту </w:t>
      </w:r>
      <w:r w:rsidR="004C684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931EA5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у званичним финансијским извештајима за једну од последње две године</w:t>
      </w:r>
      <w:r w:rsidR="00D14F4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684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исказао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нето губитак, али је остварен пословни добитак.</w:t>
      </w:r>
      <w:r w:rsidR="00D14F4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70A5E53" w14:textId="77777777" w:rsidR="00971CDB" w:rsidRPr="00EA035C" w:rsidRDefault="00971CDB" w:rsidP="006C4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Кредитна средства могу бити одобрена под следећим условима:</w:t>
      </w:r>
    </w:p>
    <w:p w14:paraId="23D15758" w14:textId="77777777" w:rsidR="00971CDB" w:rsidRPr="00EA035C" w:rsidRDefault="00971CDB" w:rsidP="006C4F86">
      <w:pPr>
        <w:pStyle w:val="ListParagraph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да се средства за реализацију Програма искључиво користе у привредном субјекту коме се додељују;</w:t>
      </w:r>
    </w:p>
    <w:p w14:paraId="31107F7F" w14:textId="6CBF879F" w:rsidR="00971CDB" w:rsidRPr="00EA035C" w:rsidRDefault="00971CDB" w:rsidP="006C4F86">
      <w:pPr>
        <w:pStyle w:val="ListParagraph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DB4F62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се обрачунава амортизација у складу са важећим прописима;</w:t>
      </w:r>
    </w:p>
    <w:p w14:paraId="60F7EB46" w14:textId="2F3C7783" w:rsidR="00971CDB" w:rsidRPr="00EA035C" w:rsidRDefault="00971CDB" w:rsidP="006C4F86">
      <w:pPr>
        <w:pStyle w:val="ListParagraph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да се средства налазе и остају у имовини привредног субјекта најмање </w:t>
      </w:r>
      <w:r w:rsidR="00116B4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пет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годин</w:t>
      </w:r>
      <w:r w:rsidR="00116B49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2658A" w:rsidRPr="00EA035C">
        <w:rPr>
          <w:rFonts w:ascii="Times New Roman" w:hAnsi="Times New Roman" w:cs="Times New Roman"/>
          <w:sz w:val="24"/>
          <w:szCs w:val="24"/>
          <w:lang w:val="sr-Cyrl-CS"/>
        </w:rPr>
        <w:t>, односно</w:t>
      </w:r>
      <w:r w:rsidR="00E800D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три године у случају предузетника, микро, малих и средњих предузећа (</w:t>
      </w:r>
      <w:r w:rsidR="00613549" w:rsidRPr="00EA035C">
        <w:rPr>
          <w:rFonts w:ascii="Times New Roman" w:hAnsi="Times New Roman" w:cs="Times New Roman"/>
          <w:sz w:val="24"/>
          <w:szCs w:val="24"/>
          <w:lang w:val="sr-Cyrl-CS"/>
        </w:rPr>
        <w:t>у даљем тексту: М</w:t>
      </w:r>
      <w:r w:rsidR="008E5209" w:rsidRPr="00EA035C">
        <w:rPr>
          <w:rFonts w:ascii="Times New Roman" w:hAnsi="Times New Roman" w:cs="Times New Roman"/>
          <w:sz w:val="24"/>
          <w:szCs w:val="24"/>
          <w:lang w:val="sr-Cyrl-CS"/>
        </w:rPr>
        <w:t>МСПП),</w:t>
      </w:r>
      <w:r w:rsidR="00167B1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од датума куповине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1EFC94E" w14:textId="501D5B7E" w:rsidR="00971CDB" w:rsidRPr="00EA035C" w:rsidRDefault="00971CDB" w:rsidP="006C4F86">
      <w:pPr>
        <w:pStyle w:val="ListParagraph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да су средства купљена од трећег лица по тржишним условима.</w:t>
      </w:r>
    </w:p>
    <w:p w14:paraId="24A6B010" w14:textId="4E6DFCF1" w:rsidR="00971CDB" w:rsidRPr="00EA035C" w:rsidRDefault="00971CDB" w:rsidP="006C4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Почетне инвестиције морају остати у истом подручју најмање </w:t>
      </w:r>
      <w:r w:rsidR="00116B4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пет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годин</w:t>
      </w:r>
      <w:r w:rsidR="00116B4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а, </w:t>
      </w:r>
      <w:r w:rsidR="00116B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односно у случају </w:t>
      </w:r>
      <w:r w:rsidR="006135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="00116B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МСП</w:t>
      </w:r>
      <w:r w:rsidR="00E800D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</w:t>
      </w:r>
      <w:r w:rsidR="00116B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три године након завршетка пројекта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6904D1F" w14:textId="3A969E07" w:rsidR="00AE76F4" w:rsidRPr="00EA035C" w:rsidRDefault="005C2956" w:rsidP="00733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Кредитна средства могу бити одобрена само уколико су испуњени следећи услови:</w:t>
      </w:r>
    </w:p>
    <w:p w14:paraId="38EB5B2E" w14:textId="100B5189" w:rsidR="003321EB" w:rsidRPr="00EA035C" w:rsidRDefault="005C2956" w:rsidP="00406A30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="003321EB" w:rsidRPr="00EA035C">
        <w:rPr>
          <w:rFonts w:ascii="Times New Roman" w:hAnsi="Times New Roman" w:cs="Times New Roman"/>
          <w:sz w:val="24"/>
          <w:szCs w:val="24"/>
          <w:lang w:val="sr-Cyrl-CS"/>
        </w:rPr>
        <w:t>испуњава све услове из важећих прописа</w:t>
      </w:r>
      <w:r w:rsidR="00675CDC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1EB" w:rsidRPr="00EA035C">
        <w:rPr>
          <w:rFonts w:ascii="Times New Roman" w:hAnsi="Times New Roman" w:cs="Times New Roman"/>
          <w:sz w:val="24"/>
          <w:szCs w:val="24"/>
          <w:lang w:val="sr-Cyrl-CS"/>
        </w:rPr>
        <w:t>који се односе на  обављање предметне делатности, укључујући прописе у области заштите животне средине, радног законодавства и безбедности на раду</w:t>
      </w:r>
      <w:r w:rsidR="007D7E0F" w:rsidRPr="00EA03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815C10A" w14:textId="1D439BF6" w:rsidR="005C2956" w:rsidRPr="00EA035C" w:rsidRDefault="003321EB" w:rsidP="00406A30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да су за потребе реализације инвестиционог пројекта обезбеђене све потребне </w:t>
      </w:r>
      <w:r w:rsidR="005C2956" w:rsidRPr="00EA035C">
        <w:rPr>
          <w:rFonts w:ascii="Times New Roman" w:hAnsi="Times New Roman" w:cs="Times New Roman"/>
          <w:sz w:val="24"/>
          <w:szCs w:val="24"/>
          <w:lang w:val="sr-Cyrl-CS"/>
        </w:rPr>
        <w:t>дозволе и лиценце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 испуњени потребни услови у складу за важећим прописима</w:t>
      </w:r>
      <w:r w:rsidR="007D7E0F" w:rsidRPr="00EA03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59B617E" w14:textId="70F10A67" w:rsidR="00ED704D" w:rsidRPr="00EA035C" w:rsidRDefault="003321EB" w:rsidP="00406A30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9C6ED5" w:rsidRPr="00EA03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C2956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привредни субјект </w:t>
      </w:r>
      <w:r w:rsidR="009C6ED5" w:rsidRPr="00EA035C">
        <w:rPr>
          <w:rFonts w:ascii="Times New Roman" w:hAnsi="Times New Roman" w:cs="Times New Roman"/>
          <w:sz w:val="24"/>
          <w:szCs w:val="24"/>
          <w:lang w:val="sr-Cyrl-CS"/>
        </w:rPr>
        <w:t>ни</w:t>
      </w:r>
      <w:r w:rsidR="005C2956" w:rsidRPr="00EA035C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9C6ED5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тешкоћама</w:t>
      </w:r>
      <w:r w:rsidR="00EE556A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556A" w:rsidRPr="00EA035C">
        <w:rPr>
          <w:rFonts w:ascii="Times New Roman" w:hAnsi="Times New Roman"/>
          <w:sz w:val="23"/>
          <w:szCs w:val="23"/>
          <w:lang w:val="sr-Cyrl-CS"/>
        </w:rPr>
        <w:t xml:space="preserve">у складу са чланом </w:t>
      </w:r>
      <w:r w:rsidR="00134A3B" w:rsidRPr="00EA035C">
        <w:rPr>
          <w:rFonts w:ascii="Times New Roman" w:hAnsi="Times New Roman"/>
          <w:sz w:val="23"/>
          <w:szCs w:val="23"/>
          <w:lang w:val="sr-Cyrl-CS"/>
        </w:rPr>
        <w:t>6</w:t>
      </w:r>
      <w:r w:rsidR="00EE556A" w:rsidRPr="00EA035C">
        <w:rPr>
          <w:rFonts w:ascii="Times New Roman" w:hAnsi="Times New Roman"/>
          <w:sz w:val="23"/>
          <w:szCs w:val="23"/>
          <w:lang w:val="sr-Cyrl-CS"/>
        </w:rPr>
        <w:t xml:space="preserve">. Уредбе </w:t>
      </w:r>
      <w:r w:rsidR="00134A3B" w:rsidRPr="00EA035C">
        <w:rPr>
          <w:rFonts w:ascii="Times New Roman" w:hAnsi="Times New Roman"/>
          <w:sz w:val="23"/>
          <w:szCs w:val="23"/>
          <w:lang w:val="sr-Cyrl-CS"/>
        </w:rPr>
        <w:t xml:space="preserve">о </w:t>
      </w:r>
      <w:r w:rsidR="00134A3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условима и критеријумима усклађености државне помоћи за санацију и реструктурирање учесника на тржишту у тешкоћама</w:t>
      </w:r>
      <w:r w:rsidR="00134A3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134A3B" w:rsidRPr="00EA035C">
        <w:rPr>
          <w:rFonts w:ascii="Times New Roman" w:hAnsi="Times New Roman"/>
          <w:sz w:val="23"/>
          <w:szCs w:val="23"/>
          <w:lang w:val="sr-Cyrl-CS"/>
        </w:rPr>
        <w:t>„</w:t>
      </w:r>
      <w:r w:rsidR="00134A3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Службени гласник РС</w:t>
      </w:r>
      <w:r w:rsidR="00134A3B" w:rsidRPr="00EA035C">
        <w:rPr>
          <w:rFonts w:ascii="Times New Roman" w:hAnsi="Times New Roman"/>
          <w:sz w:val="23"/>
          <w:szCs w:val="23"/>
          <w:lang w:val="sr-Cyrl-CS"/>
        </w:rPr>
        <w:t>ˮ</w:t>
      </w:r>
      <w:r w:rsidR="00134A3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број 62/21)</w:t>
      </w:r>
      <w:r w:rsidR="009C6ED5" w:rsidRPr="00EA035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88C9E75" w14:textId="087F8C41" w:rsidR="004543FB" w:rsidRPr="00EA035C" w:rsidRDefault="00EE556A" w:rsidP="00406A30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складу са чланом 7. Уредбе о условима и критеријумима усклађен</w:t>
      </w:r>
      <w:r w:rsidR="00E20B8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ости регионалне државне помоћи</w:t>
      </w:r>
      <w:r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543F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 се привредни субјект не налази у поступку повраћаја државне или de minimis помоћи</w:t>
      </w:r>
      <w:r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као и да није у тешкоћама у смислу члана 2. став 1. тачка 5) Уредбе о правилима за доделу државне помоћи</w:t>
      </w:r>
      <w:r w:rsidR="004543F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(„Службени гласник РС”, бр. 13/10, 100/11, 91/12, 37/13, 97/13</w:t>
      </w:r>
      <w:r w:rsidR="006135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4543F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119/14</w:t>
      </w:r>
      <w:r w:rsidR="006135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23/21 </w:t>
      </w:r>
      <w:r w:rsidR="006D4931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</w:t>
      </w:r>
      <w:r w:rsidR="006135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др. уредба, 23/21 </w:t>
      </w:r>
      <w:r w:rsidR="006D4931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</w:t>
      </w:r>
      <w:r w:rsidR="00613549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др. уредба</w:t>
      </w:r>
      <w:r w:rsidR="005F2010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62/21 - др. уредба, 62/21 - др. уредба, 62/21 -</w:t>
      </w:r>
      <w:r w:rsidR="006D4931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др. уредба, 99/21 - др. уредба и 99/21 -</w:t>
      </w:r>
      <w:r w:rsidR="00723A74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D4931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др. уредба</w:t>
      </w:r>
      <w:r w:rsidR="004543F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5F2010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на дан 31. децембар</w:t>
      </w:r>
      <w:r w:rsidR="004543F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2019. </w:t>
      </w:r>
      <w:r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</w:t>
      </w:r>
      <w:r w:rsidR="004543FB" w:rsidRPr="00EA035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одине;</w:t>
      </w:r>
    </w:p>
    <w:p w14:paraId="579F157E" w14:textId="29ED0E2B" w:rsidR="000A457A" w:rsidRPr="00EA035C" w:rsidRDefault="009C6ED5" w:rsidP="005F2010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3321EB" w:rsidRPr="00EA035C">
        <w:rPr>
          <w:rFonts w:ascii="Times New Roman" w:hAnsi="Times New Roman"/>
          <w:sz w:val="24"/>
          <w:szCs w:val="24"/>
          <w:lang w:val="sr-Cyrl-CS"/>
        </w:rPr>
        <w:t xml:space="preserve">привредни субјект има </w:t>
      </w:r>
      <w:r w:rsidRPr="00EA035C">
        <w:rPr>
          <w:rFonts w:ascii="Times New Roman" w:hAnsi="Times New Roman"/>
          <w:sz w:val="24"/>
          <w:szCs w:val="24"/>
          <w:lang w:val="sr-Cyrl-CS"/>
        </w:rPr>
        <w:t>регулиса</w:t>
      </w:r>
      <w:r w:rsidR="003321EB" w:rsidRPr="00EA035C">
        <w:rPr>
          <w:rFonts w:ascii="Times New Roman" w:hAnsi="Times New Roman"/>
          <w:sz w:val="24"/>
          <w:szCs w:val="24"/>
          <w:lang w:val="sr-Cyrl-CS"/>
        </w:rPr>
        <w:t>не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 доспеле обавезе јавних прихода</w:t>
      </w:r>
      <w:r w:rsidR="00733100" w:rsidRPr="00EA035C">
        <w:rPr>
          <w:rFonts w:ascii="Times New Roman" w:hAnsi="Times New Roman"/>
          <w:sz w:val="24"/>
          <w:szCs w:val="24"/>
          <w:lang w:val="sr-Cyrl-CS"/>
        </w:rPr>
        <w:t>.</w:t>
      </w:r>
    </w:p>
    <w:p w14:paraId="57455B30" w14:textId="3DEAB05E" w:rsidR="00B3299E" w:rsidRPr="00EA035C" w:rsidRDefault="00386C6D" w:rsidP="0002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Подносилац захтева доставља 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>изјаву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којој наводи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да ли је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 у ком износу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већ добио државну помоћ/</w:t>
      </w:r>
      <w:r w:rsidR="00B3299E" w:rsidRPr="00EA035C">
        <w:rPr>
          <w:rFonts w:ascii="Times New Roman" w:hAnsi="Times New Roman" w:cs="Times New Roman"/>
          <w:iCs/>
          <w:sz w:val="24"/>
          <w:szCs w:val="24"/>
          <w:lang w:val="sr-Cyrl-CS"/>
        </w:rPr>
        <w:t>de minimis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помоћ или је у поступку добијања државне помоћи/</w:t>
      </w:r>
      <w:r w:rsidR="00B3299E" w:rsidRPr="00EA035C">
        <w:rPr>
          <w:rFonts w:ascii="Times New Roman" w:hAnsi="Times New Roman" w:cs="Times New Roman"/>
          <w:iCs/>
          <w:sz w:val="24"/>
          <w:szCs w:val="24"/>
          <w:lang w:val="sr-Cyrl-CS"/>
        </w:rPr>
        <w:t>de minimis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за исте оправдане трошкове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265E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Фонд за развој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рачуна да у случају да је привредни субјект добио или је у поступку добијања државне помоћи/</w:t>
      </w:r>
      <w:r w:rsidR="00E20B8B" w:rsidRPr="00EA035C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>de minimis помоћи</w:t>
      </w:r>
      <w:r w:rsidR="00E20B8B" w:rsidRPr="00EA035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за исте оправдане трошкове, максималан интензитет државне помоћи не може бити већи од износа утврђених чланом 15. Уредб</w:t>
      </w:r>
      <w:r w:rsidR="00F1651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3299E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 условима и критеријумима усклађености регионалне државне п</w:t>
      </w:r>
      <w:r w:rsidR="007A2CD6" w:rsidRPr="00EA035C">
        <w:rPr>
          <w:rFonts w:ascii="Times New Roman" w:hAnsi="Times New Roman" w:cs="Times New Roman"/>
          <w:sz w:val="24"/>
          <w:szCs w:val="24"/>
          <w:lang w:val="sr-Cyrl-CS"/>
        </w:rPr>
        <w:t>омоћи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D085B31" w14:textId="04A538E0" w:rsidR="004033A3" w:rsidRPr="00EA035C" w:rsidRDefault="004033A3" w:rsidP="0002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6D4931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рограму </w:t>
      </w:r>
      <w:r w:rsidR="006616FE" w:rsidRPr="00EA035C">
        <w:rPr>
          <w:rFonts w:ascii="Times New Roman" w:hAnsi="Times New Roman" w:cs="Times New Roman"/>
          <w:sz w:val="24"/>
          <w:szCs w:val="24"/>
          <w:lang w:val="sr-Cyrl-CS"/>
        </w:rPr>
        <w:t>се може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поднети само један захтев. </w:t>
      </w:r>
      <w:r w:rsidR="000265E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Захтев за коришћење средстава мора да садржи назив и величину </w:t>
      </w:r>
      <w:r w:rsidR="00E02B31" w:rsidRPr="00EA035C">
        <w:rPr>
          <w:rFonts w:ascii="Times New Roman" w:hAnsi="Times New Roman" w:cs="Times New Roman"/>
          <w:sz w:val="24"/>
          <w:szCs w:val="24"/>
          <w:lang w:val="sr-Cyrl-CS"/>
        </w:rPr>
        <w:t>привредног субјекта</w:t>
      </w:r>
      <w:r w:rsidR="000265E2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, опис пројекта, датум почетка и краја пројекта, локацију пројекта и преглед трошкова пројекта.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Поновљени захтев може бити поднет у периоду трајања пријема захтева, тек након пријема обавештења да је Управни одбор Фонда одбио првобитан захтев клијента или уколико клијент одустане од коришћења одобреног захтева пре пуштања средстава у коришћење, уз одговарајуће образложење</w:t>
      </w:r>
      <w:r w:rsidR="009A2C10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B6F2034" w14:textId="2AF2A984" w:rsidR="00F07175" w:rsidRPr="00EA035C" w:rsidRDefault="000A457A" w:rsidP="00F071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A035C">
        <w:rPr>
          <w:rFonts w:ascii="Times New Roman" w:hAnsi="Times New Roman"/>
          <w:sz w:val="24"/>
          <w:szCs w:val="24"/>
          <w:lang w:val="sr-Cyrl-CS"/>
        </w:rPr>
        <w:t>Уколико након</w:t>
      </w:r>
      <w:r w:rsidR="00513F2A" w:rsidRPr="00EA035C">
        <w:rPr>
          <w:rFonts w:ascii="Times New Roman" w:hAnsi="Times New Roman"/>
          <w:sz w:val="24"/>
          <w:szCs w:val="24"/>
          <w:lang w:val="sr-Cyrl-CS"/>
        </w:rPr>
        <w:t xml:space="preserve"> предлога одлуке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 одобрења </w:t>
      </w:r>
      <w:r w:rsidR="001A34FA" w:rsidRPr="00EA035C">
        <w:rPr>
          <w:rFonts w:ascii="Times New Roman" w:hAnsi="Times New Roman"/>
          <w:sz w:val="24"/>
          <w:szCs w:val="24"/>
          <w:lang w:val="sr-Cyrl-CS"/>
        </w:rPr>
        <w:t xml:space="preserve">Управног 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одбора </w:t>
      </w:r>
      <w:r w:rsidR="00675CDC" w:rsidRPr="00EA035C">
        <w:rPr>
          <w:rFonts w:ascii="Times New Roman" w:hAnsi="Times New Roman"/>
          <w:sz w:val="24"/>
          <w:szCs w:val="24"/>
          <w:lang w:val="sr-Cyrl-CS"/>
        </w:rPr>
        <w:t>Ф</w:t>
      </w:r>
      <w:r w:rsidRPr="00EA035C">
        <w:rPr>
          <w:rFonts w:ascii="Times New Roman" w:hAnsi="Times New Roman"/>
          <w:sz w:val="24"/>
          <w:szCs w:val="24"/>
          <w:lang w:val="sr-Cyrl-CS"/>
        </w:rPr>
        <w:t>онда</w:t>
      </w:r>
      <w:r w:rsidR="00D14F43" w:rsidRPr="00EA035C">
        <w:rPr>
          <w:rFonts w:ascii="Times New Roman" w:hAnsi="Times New Roman"/>
          <w:sz w:val="24"/>
          <w:szCs w:val="24"/>
          <w:lang w:val="sr-Cyrl-CS"/>
        </w:rPr>
        <w:t>,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717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ЕИБ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 не да сагласност за </w:t>
      </w:r>
      <w:r w:rsidR="004033A3" w:rsidRPr="00EA035C">
        <w:rPr>
          <w:rFonts w:ascii="Times New Roman" w:hAnsi="Times New Roman"/>
          <w:sz w:val="24"/>
          <w:szCs w:val="24"/>
          <w:lang w:val="sr-Cyrl-CS"/>
        </w:rPr>
        <w:t>одређени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 кредит, он не може бити финансиран из </w:t>
      </w:r>
      <w:r w:rsidR="004C6D5A" w:rsidRPr="00EA035C">
        <w:rPr>
          <w:rFonts w:ascii="Times New Roman" w:hAnsi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рограма, а Фонд  може кориснику понудити инвестициони кредит под стандардним условима дефинисаним у </w:t>
      </w:r>
      <w:r w:rsidR="004C6D5A" w:rsidRPr="00EA035C">
        <w:rPr>
          <w:rFonts w:ascii="Times New Roman" w:hAnsi="Times New Roman"/>
          <w:sz w:val="24"/>
          <w:szCs w:val="24"/>
          <w:lang w:val="sr-Cyrl-CS"/>
        </w:rPr>
        <w:t>п</w:t>
      </w:r>
      <w:r w:rsidRPr="00EA035C">
        <w:rPr>
          <w:rFonts w:ascii="Times New Roman" w:hAnsi="Times New Roman"/>
          <w:sz w:val="24"/>
          <w:szCs w:val="24"/>
          <w:lang w:val="sr-Cyrl-CS"/>
        </w:rPr>
        <w:t>рограму Фонда.</w:t>
      </w:r>
      <w:r w:rsidR="00F07175" w:rsidRPr="00EA035C">
        <w:rPr>
          <w:rFonts w:ascii="Times New Roman" w:hAnsi="Times New Roman"/>
          <w:sz w:val="24"/>
          <w:szCs w:val="24"/>
          <w:lang w:val="sr-Cyrl-CS"/>
        </w:rPr>
        <w:t xml:space="preserve"> Уколико након предлога одлуке одобрења Управног одбора Фонда</w:t>
      </w:r>
      <w:r w:rsidR="00F0717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ЕИБ</w:t>
      </w:r>
      <w:r w:rsidR="005C30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услед промене на тржишту,</w:t>
      </w:r>
      <w:r w:rsidR="00F0717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одреди вишу каматну стопу по којој се задужује Република Србија тако да она буде виша од каматних стопа</w:t>
      </w:r>
      <w:r w:rsidR="006D493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23A74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одређеним</w:t>
      </w:r>
      <w:r w:rsidR="006D493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Програмом</w:t>
      </w:r>
      <w:r w:rsidR="00F0717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према привредним субјектима</w:t>
      </w:r>
      <w:r w:rsidR="005C30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, клијент може да прихвати одобрени кредит уз нову каматну стопу</w:t>
      </w:r>
      <w:r w:rsidR="00F07175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одустане од </w:t>
      </w:r>
      <w:r w:rsidR="005C30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коришћења одобреног кредит</w:t>
      </w:r>
      <w:r w:rsidR="006D4931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5C30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прихвати понуду Фонда за </w:t>
      </w:r>
      <w:r w:rsidR="005C3049" w:rsidRPr="00EA035C">
        <w:rPr>
          <w:rFonts w:ascii="Times New Roman" w:hAnsi="Times New Roman"/>
          <w:sz w:val="24"/>
          <w:szCs w:val="24"/>
          <w:lang w:val="sr-Cyrl-CS"/>
        </w:rPr>
        <w:t xml:space="preserve">инвестициони кредит под стандардним условима дефинисаним у </w:t>
      </w:r>
      <w:r w:rsidR="00BD6759" w:rsidRPr="00EA035C">
        <w:rPr>
          <w:rFonts w:ascii="Times New Roman" w:hAnsi="Times New Roman"/>
          <w:sz w:val="24"/>
          <w:szCs w:val="24"/>
          <w:lang w:val="sr-Cyrl-CS"/>
        </w:rPr>
        <w:t>п</w:t>
      </w:r>
      <w:r w:rsidR="005C3049" w:rsidRPr="00EA035C">
        <w:rPr>
          <w:rFonts w:ascii="Times New Roman" w:hAnsi="Times New Roman"/>
          <w:sz w:val="24"/>
          <w:szCs w:val="24"/>
          <w:lang w:val="sr-Cyrl-CS"/>
        </w:rPr>
        <w:t>рограму Фонда</w:t>
      </w:r>
      <w:r w:rsidR="005C3049" w:rsidRPr="00EA03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77CFE062" w14:textId="6997D673" w:rsidR="00E16530" w:rsidRPr="00EA035C" w:rsidRDefault="00E16530" w:rsidP="00971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EA035C">
        <w:rPr>
          <w:rFonts w:ascii="Times New Roman" w:hAnsi="Times New Roman"/>
          <w:sz w:val="24"/>
          <w:szCs w:val="24"/>
          <w:lang w:val="sr-Cyrl-CS"/>
        </w:rPr>
        <w:t>У случају да кл</w:t>
      </w:r>
      <w:r w:rsidR="0063664E" w:rsidRPr="00EA035C">
        <w:rPr>
          <w:rFonts w:ascii="Times New Roman" w:hAnsi="Times New Roman"/>
          <w:sz w:val="24"/>
          <w:szCs w:val="24"/>
          <w:lang w:val="sr-Cyrl-CS"/>
        </w:rPr>
        <w:t>ијент изврши превремену отплату</w:t>
      </w:r>
      <w:r w:rsidRPr="00EA035C">
        <w:rPr>
          <w:rFonts w:ascii="Times New Roman" w:hAnsi="Times New Roman"/>
          <w:sz w:val="24"/>
          <w:szCs w:val="24"/>
          <w:lang w:val="sr-Cyrl-CS"/>
        </w:rPr>
        <w:t xml:space="preserve"> кредита</w:t>
      </w:r>
      <w:r w:rsidR="0063664E" w:rsidRPr="00EA035C">
        <w:rPr>
          <w:rFonts w:ascii="Times New Roman" w:hAnsi="Times New Roman"/>
          <w:sz w:val="24"/>
          <w:szCs w:val="24"/>
          <w:lang w:val="sr-Cyrl-CS"/>
        </w:rPr>
        <w:t xml:space="preserve"> који је финансиран из средстава ЕИБ, Фонд </w:t>
      </w:r>
      <w:r w:rsidR="001A41AB" w:rsidRPr="00EA035C">
        <w:rPr>
          <w:rFonts w:ascii="Times New Roman" w:hAnsi="Times New Roman"/>
          <w:sz w:val="24"/>
          <w:szCs w:val="24"/>
          <w:lang w:val="sr-Cyrl-CS"/>
        </w:rPr>
        <w:t>ће предметна средства вратити у буџет Републике Србије.</w:t>
      </w:r>
    </w:p>
    <w:p w14:paraId="3D9B19DD" w14:textId="77777777" w:rsidR="00733100" w:rsidRPr="00EA035C" w:rsidRDefault="00733100" w:rsidP="007331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3C0722" w14:textId="77777777" w:rsidR="008E6953" w:rsidRPr="00EA035C" w:rsidRDefault="008E6953" w:rsidP="001B06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V. НАЧИН РЕАЛИЗАЦИЈЕ ПРОГРАМА</w:t>
      </w:r>
    </w:p>
    <w:p w14:paraId="53EA60A4" w14:textId="0ED8CFB8" w:rsidR="008E6953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По усвајању Програма, Министарство 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потписа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са Фондом уговор о комисиону који</w:t>
      </w:r>
      <w:r w:rsidR="00572B2F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односи на реализацију П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рограма, којим ће на Фонд бити пренета обавеза прикупљања и обраде захтева привредних субјеката за кредит,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обавеза провере испуњености свих услова Програма,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обавеза закључивања уговора о кредиту са привредним субјектима, контрола наменско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>г коришћења кредитних средстава</w:t>
      </w:r>
      <w:r w:rsidR="00A05854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, обавеза вођења књиговодствене евиденције о пласираним средствима и отплати кредита, обавеза благовременог преузимања свих потребних радњи у циљу наплате кредита у случају доцње, ненаменског коришћења кредита и других случајева дефинисаних </w:t>
      </w:r>
      <w:r w:rsidR="004C6D5A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A05854" w:rsidRPr="00EA035C">
        <w:rPr>
          <w:rFonts w:ascii="Times New Roman" w:hAnsi="Times New Roman" w:cs="Times New Roman"/>
          <w:sz w:val="24"/>
          <w:szCs w:val="24"/>
          <w:lang w:val="sr-Cyrl-CS"/>
        </w:rPr>
        <w:t>рограмом Фонда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05854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>редовног информисања Министарства и Европске инвестиционе банке о реализацији Програма.</w:t>
      </w:r>
    </w:p>
    <w:p w14:paraId="618A63BF" w14:textId="50301AC3" w:rsidR="004033A3" w:rsidRPr="00EA035C" w:rsidRDefault="004033A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Фонд ће за потребе реализације Програма отворити посебан наменски рачун у трезору.</w:t>
      </w:r>
    </w:p>
    <w:p w14:paraId="15218402" w14:textId="41E9D273" w:rsidR="008E6953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ће, по закључењу уговора са Фондом, сукцесивно преносити средства за 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реализацију </w:t>
      </w:r>
      <w:r w:rsidR="004C6D5A" w:rsidRPr="00EA035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>рограма Фонду</w:t>
      </w:r>
      <w:r w:rsidR="009A2C10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263CE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наменски </w:t>
      </w:r>
      <w:r w:rsidR="009A2C10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рачун</w:t>
      </w:r>
      <w:r w:rsidR="00263CE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из става</w:t>
      </w:r>
      <w:r w:rsidR="00996F6D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DD7401" w:rsidRPr="00EA035C">
        <w:rPr>
          <w:rFonts w:ascii="Times New Roman" w:hAnsi="Times New Roman" w:cs="Times New Roman"/>
          <w:sz w:val="24"/>
          <w:szCs w:val="24"/>
          <w:lang w:val="sr-Cyrl-CS"/>
        </w:rPr>
        <w:t>. ове главе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41D2109A" w14:textId="087D7D5D" w:rsidR="008E6953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Техничку подршку у спровођењу Програма</w:t>
      </w:r>
      <w:r w:rsidR="00CD7BDF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D00" w:rsidRPr="00EA035C">
        <w:rPr>
          <w:rFonts w:ascii="Times New Roman" w:hAnsi="Times New Roman" w:cs="Times New Roman"/>
          <w:sz w:val="24"/>
          <w:szCs w:val="24"/>
          <w:lang w:val="sr-Cyrl-CS"/>
        </w:rPr>
        <w:t>у делу обраде захтева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пружаће Агенција за осигурање и финансирање извоза Републике Србије а.д. Ужице (у даљем тексту: АОФИ), а на основу уговора о сарадњи који ће Фонд закључити са </w:t>
      </w:r>
      <w:r w:rsidR="00DD1937" w:rsidRPr="00EA035C">
        <w:rPr>
          <w:rFonts w:ascii="Times New Roman" w:hAnsi="Times New Roman" w:cs="Times New Roman"/>
          <w:sz w:val="24"/>
          <w:szCs w:val="24"/>
          <w:lang w:val="sr-Cyrl-CS"/>
        </w:rPr>
        <w:t>АОФИ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1937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За потребе </w:t>
      </w:r>
      <w:r w:rsidR="00601D00" w:rsidRPr="00EA035C">
        <w:rPr>
          <w:rFonts w:ascii="Times New Roman" w:hAnsi="Times New Roman" w:cs="Times New Roman"/>
          <w:sz w:val="24"/>
          <w:szCs w:val="24"/>
          <w:lang w:val="sr-Cyrl-CS"/>
        </w:rPr>
        <w:t>послова техничке подршке</w:t>
      </w:r>
      <w:r w:rsidR="00CD7BDF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33A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у вези реализације теренских контрола корисника, </w:t>
      </w:r>
      <w:r w:rsidR="00DD1937" w:rsidRPr="00EA035C">
        <w:rPr>
          <w:rFonts w:ascii="Times New Roman" w:hAnsi="Times New Roman" w:cs="Times New Roman"/>
          <w:sz w:val="24"/>
          <w:szCs w:val="24"/>
          <w:lang w:val="sr-Cyrl-CS"/>
        </w:rPr>
        <w:t>Фонд има могућност ангажовања</w:t>
      </w:r>
      <w:r w:rsidR="003E469A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1937" w:rsidRPr="00EA035C">
        <w:rPr>
          <w:rFonts w:ascii="Times New Roman" w:hAnsi="Times New Roman" w:cs="Times New Roman"/>
          <w:sz w:val="24"/>
          <w:szCs w:val="24"/>
          <w:lang w:val="sr-Cyrl-CS"/>
        </w:rPr>
        <w:t>акредитованих регионалних развојних агенција, са којима би закључио уговор о сарадњи.</w:t>
      </w:r>
    </w:p>
    <w:p w14:paraId="57F56874" w14:textId="1F42914B" w:rsidR="000265E2" w:rsidRPr="00EA035C" w:rsidRDefault="000265E2" w:rsidP="000265E2">
      <w:pPr>
        <w:pStyle w:val="stil4clan"/>
        <w:spacing w:before="0" w:after="0"/>
        <w:ind w:firstLine="720"/>
        <w:jc w:val="both"/>
        <w:rPr>
          <w:b w:val="0"/>
          <w:bCs w:val="0"/>
          <w:sz w:val="24"/>
          <w:szCs w:val="24"/>
          <w:lang w:val="sr-Cyrl-CS"/>
        </w:rPr>
      </w:pPr>
      <w:r w:rsidRPr="00EA035C">
        <w:rPr>
          <w:b w:val="0"/>
          <w:bCs w:val="0"/>
          <w:sz w:val="24"/>
          <w:szCs w:val="24"/>
          <w:lang w:val="sr-Cyrl-CS"/>
        </w:rPr>
        <w:t xml:space="preserve">Јавни позив, информација о начину спровођења Програма, као и конкурсна документација, биће објављени на интернет страници Фонда: </w:t>
      </w:r>
      <w:hyperlink r:id="rId8" w:history="1">
        <w:r w:rsidRPr="00EA035C">
          <w:rPr>
            <w:rStyle w:val="Hyperlink"/>
            <w:b w:val="0"/>
            <w:bCs w:val="0"/>
            <w:sz w:val="24"/>
            <w:szCs w:val="24"/>
            <w:lang w:val="sr-Cyrl-CS"/>
          </w:rPr>
          <w:t>www.fondzarazvoj.gov.rs</w:t>
        </w:r>
      </w:hyperlink>
      <w:r w:rsidRPr="00EA035C">
        <w:rPr>
          <w:rStyle w:val="Hyperlink"/>
          <w:b w:val="0"/>
          <w:bCs w:val="0"/>
          <w:color w:val="auto"/>
          <w:sz w:val="24"/>
          <w:szCs w:val="24"/>
          <w:lang w:val="sr-Cyrl-CS"/>
        </w:rPr>
        <w:t xml:space="preserve"> и </w:t>
      </w:r>
      <w:r w:rsidRPr="00EA035C">
        <w:rPr>
          <w:b w:val="0"/>
          <w:bCs w:val="0"/>
          <w:sz w:val="24"/>
          <w:szCs w:val="24"/>
          <w:lang w:val="sr-Cyrl-CS"/>
        </w:rPr>
        <w:t xml:space="preserve">Министарства: </w:t>
      </w:r>
      <w:hyperlink r:id="rId9" w:history="1">
        <w:r w:rsidRPr="00EA035C">
          <w:rPr>
            <w:rStyle w:val="Hyperlink"/>
            <w:b w:val="0"/>
            <w:bCs w:val="0"/>
            <w:sz w:val="24"/>
            <w:szCs w:val="24"/>
            <w:lang w:val="sr-Cyrl-CS"/>
          </w:rPr>
          <w:t>www.privreda.gov.rs</w:t>
        </w:r>
      </w:hyperlink>
      <w:r w:rsidRPr="00EA035C">
        <w:rPr>
          <w:b w:val="0"/>
          <w:bCs w:val="0"/>
          <w:sz w:val="24"/>
          <w:szCs w:val="24"/>
          <w:lang w:val="sr-Cyrl-CS"/>
        </w:rPr>
        <w:t>.</w:t>
      </w:r>
    </w:p>
    <w:p w14:paraId="7E027243" w14:textId="19DD899F" w:rsidR="008E6953" w:rsidRPr="00EA035C" w:rsidRDefault="008E6953" w:rsidP="006866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Пријем захтева се врши док се средства из Програма не утроше, а најкасније до </w:t>
      </w:r>
      <w:r w:rsidR="00265E8C" w:rsidRPr="00EA035C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B93E7F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53EE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5D2B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јуна </w:t>
      </w:r>
      <w:r w:rsidR="00B93E7F" w:rsidRPr="00EA035C">
        <w:rPr>
          <w:rFonts w:ascii="Times New Roman" w:hAnsi="Times New Roman" w:cs="Times New Roman"/>
          <w:sz w:val="24"/>
          <w:szCs w:val="24"/>
          <w:lang w:val="sr-Cyrl-CS"/>
        </w:rPr>
        <w:t>2022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године. </w:t>
      </w:r>
    </w:p>
    <w:p w14:paraId="3EE65D77" w14:textId="77777777" w:rsidR="008E6953" w:rsidRPr="00EA035C" w:rsidRDefault="008E6953" w:rsidP="00253EE3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</w:p>
    <w:p w14:paraId="269C7214" w14:textId="77777777" w:rsidR="008E6953" w:rsidRPr="00EA035C" w:rsidRDefault="008E6953" w:rsidP="006B6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VI. ПРАЋЕЊЕ РЕАЛИЗАЦИЈЕ ПРОГРАМА</w:t>
      </w:r>
    </w:p>
    <w:p w14:paraId="5AD1268E" w14:textId="77777777" w:rsidR="006B61F4" w:rsidRPr="00EA035C" w:rsidRDefault="006B61F4" w:rsidP="006B6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C105C1" w14:textId="77777777" w:rsidR="008E6953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Надзор и контролу наменског коришћења средстава врши Фонд. </w:t>
      </w:r>
    </w:p>
    <w:p w14:paraId="1C0693BC" w14:textId="77777777" w:rsidR="008E6953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 w:rsidR="008A5CB3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к средстава дужан је да Фонду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у сваком тренутку, од подношења захтева до истека уговора, омогући контролу и увид у документацију потребну ради потпунијег сагледавања захтева и контроле наменског коришћења кредитних средстава.</w:t>
      </w:r>
    </w:p>
    <w:p w14:paraId="12AB6D28" w14:textId="4AE30EAD" w:rsidR="008E6953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Фонд ће извештај о реализацији Програма доставити Министарству</w:t>
      </w:r>
      <w:r w:rsidR="00E722F4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до 31. марта 2023. године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. Министарство ће извештај ради информисања доставити Влади.</w:t>
      </w:r>
    </w:p>
    <w:p w14:paraId="5B265C11" w14:textId="460A9D15" w:rsidR="00513F2A" w:rsidRPr="00EA035C" w:rsidRDefault="00513F2A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Фонд ће</w:t>
      </w:r>
      <w:r w:rsidR="00A05854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 достављати кварталне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извештаје о реализацији и контроли спровођења Програма до исплате последњег кредита</w:t>
      </w:r>
      <w:r w:rsidR="00A05854" w:rsidRPr="00EA035C">
        <w:rPr>
          <w:rFonts w:ascii="Times New Roman" w:hAnsi="Times New Roman" w:cs="Times New Roman"/>
          <w:sz w:val="24"/>
          <w:szCs w:val="24"/>
          <w:lang w:val="sr-Cyrl-CS"/>
        </w:rPr>
        <w:t>, који ће обухватати износ враћених средстава, преглед кредита у доцњи и предузете мере за наплату потраживања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3ED8B09" w14:textId="56D53691" w:rsidR="008A4F04" w:rsidRPr="00EA035C" w:rsidRDefault="008E6953" w:rsidP="00493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Фонд је дужан да </w:t>
      </w:r>
      <w:r w:rsidR="00557F82" w:rsidRPr="00EA035C">
        <w:rPr>
          <w:rFonts w:ascii="Times New Roman" w:hAnsi="Times New Roman" w:cs="Times New Roman"/>
          <w:sz w:val="24"/>
          <w:szCs w:val="24"/>
          <w:lang w:val="sr-Cyrl-CS"/>
        </w:rPr>
        <w:t>дванаест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година од доделе помоћи води евиденцију о одобреним кредитима и да Комисији за контролу државне помоћи, на њен захтев, достави сваки податак из евиденције.</w:t>
      </w:r>
    </w:p>
    <w:p w14:paraId="0AFBA7EC" w14:textId="2987FDA6" w:rsidR="00C952D8" w:rsidRPr="00EA035C" w:rsidRDefault="008A4F04" w:rsidP="0049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35C">
        <w:rPr>
          <w:rFonts w:ascii="Times New Roman" w:hAnsi="Times New Roman" w:cs="Times New Roman"/>
          <w:sz w:val="24"/>
          <w:szCs w:val="24"/>
          <w:lang w:val="sr-Cyrl-CS"/>
        </w:rPr>
        <w:t>Фонд ће све наплате по одобреним кредитима</w:t>
      </w:r>
      <w:r w:rsidR="00F0293A" w:rsidRPr="00EA03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3C59" w:rsidRPr="00EA035C">
        <w:rPr>
          <w:rFonts w:ascii="Times New Roman" w:hAnsi="Times New Roman" w:cs="Times New Roman"/>
          <w:sz w:val="24"/>
          <w:szCs w:val="24"/>
          <w:lang w:val="sr-Cyrl-CS"/>
        </w:rPr>
        <w:t>као и све евентуалне повраћаје од стране клијента</w:t>
      </w:r>
      <w:r w:rsidR="003729C0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02E1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и средства из принудне наплате </w:t>
      </w:r>
      <w:r w:rsidRPr="00EA035C">
        <w:rPr>
          <w:rFonts w:ascii="Times New Roman" w:hAnsi="Times New Roman" w:cs="Times New Roman"/>
          <w:sz w:val="24"/>
          <w:szCs w:val="24"/>
          <w:lang w:val="sr-Cyrl-CS"/>
        </w:rPr>
        <w:t>враћати у буџет Републике Србије</w:t>
      </w:r>
      <w:r w:rsidR="009A2C10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 у р</w:t>
      </w:r>
      <w:r w:rsidR="006202E1" w:rsidRPr="00EA035C">
        <w:rPr>
          <w:rFonts w:ascii="Times New Roman" w:hAnsi="Times New Roman" w:cs="Times New Roman"/>
          <w:sz w:val="24"/>
          <w:szCs w:val="24"/>
          <w:lang w:val="sr-Cyrl-CS"/>
        </w:rPr>
        <w:t>оку од месец дана</w:t>
      </w:r>
      <w:r w:rsidR="00D03C59" w:rsidRPr="00EA03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7D46" w:rsidRPr="00EA035C">
        <w:rPr>
          <w:rFonts w:ascii="Times New Roman" w:hAnsi="Times New Roman" w:cs="Times New Roman"/>
          <w:sz w:val="24"/>
          <w:szCs w:val="24"/>
          <w:lang w:val="sr-Cyrl-CS"/>
        </w:rPr>
        <w:t>Наведени износ биће умањен за евентуалне трошкове принудне наплате потраживања и трошкове платног промета</w:t>
      </w:r>
      <w:r w:rsidR="00315728" w:rsidRPr="00EA03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7D46" w:rsidRPr="00EA035C" w:rsidDel="007430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21E5AF5" w14:textId="119467C9" w:rsidR="00871753" w:rsidRPr="00EA035C" w:rsidRDefault="00871753" w:rsidP="0049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5E4A63" w14:textId="0D586C91" w:rsidR="00871753" w:rsidRPr="00EA035C" w:rsidRDefault="00871753" w:rsidP="0049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449BDC9" w14:textId="6C0289F4" w:rsidR="00871753" w:rsidRPr="00EA035C" w:rsidRDefault="00871753" w:rsidP="0049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57268C" w14:textId="4D35E179" w:rsidR="00871753" w:rsidRPr="00EA035C" w:rsidRDefault="00871753" w:rsidP="00871753">
      <w:pPr>
        <w:pStyle w:val="stil1tekst"/>
        <w:ind w:left="0" w:right="0" w:firstLine="0"/>
        <w:rPr>
          <w:rFonts w:eastAsiaTheme="minorHAnsi"/>
          <w:lang w:val="sr-Cyrl-CS"/>
        </w:rPr>
      </w:pPr>
    </w:p>
    <w:p w14:paraId="42F0004E" w14:textId="77777777" w:rsidR="007F1030" w:rsidRPr="00EA035C" w:rsidRDefault="007F1030" w:rsidP="00871753">
      <w:pPr>
        <w:pStyle w:val="stil1tekst"/>
        <w:ind w:left="0" w:right="0" w:firstLine="0"/>
        <w:rPr>
          <w:lang w:val="sr-Cyrl-CS"/>
        </w:rPr>
      </w:pPr>
    </w:p>
    <w:sectPr w:rsidR="007F1030" w:rsidRPr="00EA035C" w:rsidSect="00686FB1"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37AE" w16cex:dateUtc="2022-03-10T07:39:00Z"/>
  <w16cex:commentExtensible w16cex:durableId="25D2E676" w16cex:dateUtc="2022-03-09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731E0E" w16cid:durableId="25D437AE"/>
  <w16cid:commentId w16cid:paraId="210AFE53" w16cid:durableId="25D2E6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2453" w14:textId="77777777" w:rsidR="003167D7" w:rsidRDefault="003167D7" w:rsidP="00686FB1">
      <w:pPr>
        <w:spacing w:after="0" w:line="240" w:lineRule="auto"/>
      </w:pPr>
      <w:r>
        <w:separator/>
      </w:r>
    </w:p>
  </w:endnote>
  <w:endnote w:type="continuationSeparator" w:id="0">
    <w:p w14:paraId="644B1BE3" w14:textId="77777777" w:rsidR="003167D7" w:rsidRDefault="003167D7" w:rsidP="0068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DD2F" w14:textId="77777777" w:rsidR="003167D7" w:rsidRDefault="003167D7" w:rsidP="00686FB1">
      <w:pPr>
        <w:spacing w:after="0" w:line="240" w:lineRule="auto"/>
      </w:pPr>
      <w:r>
        <w:separator/>
      </w:r>
    </w:p>
  </w:footnote>
  <w:footnote w:type="continuationSeparator" w:id="0">
    <w:p w14:paraId="3D26DC71" w14:textId="77777777" w:rsidR="003167D7" w:rsidRDefault="003167D7" w:rsidP="0068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570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837AD8" w14:textId="68055179" w:rsidR="00686FB1" w:rsidRDefault="00686F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7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1FE22A" w14:textId="77777777" w:rsidR="00686FB1" w:rsidRDefault="00686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3F9"/>
    <w:multiLevelType w:val="multilevel"/>
    <w:tmpl w:val="AC78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7C7"/>
    <w:multiLevelType w:val="hybridMultilevel"/>
    <w:tmpl w:val="A11E9E30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C65"/>
    <w:multiLevelType w:val="multilevel"/>
    <w:tmpl w:val="05C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5681B"/>
    <w:multiLevelType w:val="hybridMultilevel"/>
    <w:tmpl w:val="31AE3556"/>
    <w:lvl w:ilvl="0" w:tplc="0DAA906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428FC"/>
    <w:multiLevelType w:val="multilevel"/>
    <w:tmpl w:val="44EA353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60F2B"/>
    <w:multiLevelType w:val="hybridMultilevel"/>
    <w:tmpl w:val="227A11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49D8"/>
    <w:multiLevelType w:val="multilevel"/>
    <w:tmpl w:val="5420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E68DB"/>
    <w:multiLevelType w:val="hybridMultilevel"/>
    <w:tmpl w:val="B1AEF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54C6A"/>
    <w:multiLevelType w:val="hybridMultilevel"/>
    <w:tmpl w:val="65DE5E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70D55"/>
    <w:multiLevelType w:val="multilevel"/>
    <w:tmpl w:val="543E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E42FA"/>
    <w:multiLevelType w:val="hybridMultilevel"/>
    <w:tmpl w:val="661260AC"/>
    <w:lvl w:ilvl="0" w:tplc="37D2C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F53"/>
    <w:multiLevelType w:val="multilevel"/>
    <w:tmpl w:val="C0AE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4113E"/>
    <w:multiLevelType w:val="multilevel"/>
    <w:tmpl w:val="602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84E71"/>
    <w:multiLevelType w:val="hybridMultilevel"/>
    <w:tmpl w:val="15CC7B9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E1F85"/>
    <w:multiLevelType w:val="hybridMultilevel"/>
    <w:tmpl w:val="D6306C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F0AC1"/>
    <w:multiLevelType w:val="multilevel"/>
    <w:tmpl w:val="982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471DE"/>
    <w:multiLevelType w:val="hybridMultilevel"/>
    <w:tmpl w:val="1EB09184"/>
    <w:lvl w:ilvl="0" w:tplc="0DAA906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7033CD"/>
    <w:multiLevelType w:val="multilevel"/>
    <w:tmpl w:val="D59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9336B"/>
    <w:multiLevelType w:val="hybridMultilevel"/>
    <w:tmpl w:val="9198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2738F"/>
    <w:multiLevelType w:val="hybridMultilevel"/>
    <w:tmpl w:val="1DCA3FFA"/>
    <w:lvl w:ilvl="0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CA578D"/>
    <w:multiLevelType w:val="multilevel"/>
    <w:tmpl w:val="29E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186B50"/>
    <w:multiLevelType w:val="hybridMultilevel"/>
    <w:tmpl w:val="D4B22BDE"/>
    <w:lvl w:ilvl="0" w:tplc="6FF6BA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3BE02F49"/>
    <w:multiLevelType w:val="hybridMultilevel"/>
    <w:tmpl w:val="892AA474"/>
    <w:lvl w:ilvl="0" w:tplc="AF607A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F24E5"/>
    <w:multiLevelType w:val="hybridMultilevel"/>
    <w:tmpl w:val="4D9C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B2C49"/>
    <w:multiLevelType w:val="multilevel"/>
    <w:tmpl w:val="36583E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7211C"/>
    <w:multiLevelType w:val="multilevel"/>
    <w:tmpl w:val="B89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8D59FF"/>
    <w:multiLevelType w:val="hybridMultilevel"/>
    <w:tmpl w:val="1C9A9FD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C7F16"/>
    <w:multiLevelType w:val="hybridMultilevel"/>
    <w:tmpl w:val="723A965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A68DE"/>
    <w:multiLevelType w:val="hybridMultilevel"/>
    <w:tmpl w:val="CA2EF010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04199"/>
    <w:multiLevelType w:val="hybridMultilevel"/>
    <w:tmpl w:val="C3786DA8"/>
    <w:lvl w:ilvl="0" w:tplc="AA66AC90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37701"/>
    <w:multiLevelType w:val="hybridMultilevel"/>
    <w:tmpl w:val="85A0C91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11649"/>
    <w:multiLevelType w:val="hybridMultilevel"/>
    <w:tmpl w:val="B4A6C45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C1B90"/>
    <w:multiLevelType w:val="multilevel"/>
    <w:tmpl w:val="24EE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76860"/>
    <w:multiLevelType w:val="hybridMultilevel"/>
    <w:tmpl w:val="D6E48250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07EDB"/>
    <w:multiLevelType w:val="hybridMultilevel"/>
    <w:tmpl w:val="1C9A9FD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756EC"/>
    <w:multiLevelType w:val="multilevel"/>
    <w:tmpl w:val="BE8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024D4D"/>
    <w:multiLevelType w:val="multilevel"/>
    <w:tmpl w:val="915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66278"/>
    <w:multiLevelType w:val="multilevel"/>
    <w:tmpl w:val="E18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D09C3"/>
    <w:multiLevelType w:val="multilevel"/>
    <w:tmpl w:val="434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A23F0"/>
    <w:multiLevelType w:val="hybridMultilevel"/>
    <w:tmpl w:val="887C76E4"/>
    <w:lvl w:ilvl="0" w:tplc="0DAA906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5E1AA1"/>
    <w:multiLevelType w:val="hybridMultilevel"/>
    <w:tmpl w:val="877C3D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77CC4"/>
    <w:multiLevelType w:val="multilevel"/>
    <w:tmpl w:val="803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11BF5"/>
    <w:multiLevelType w:val="hybridMultilevel"/>
    <w:tmpl w:val="DF2C31B4"/>
    <w:lvl w:ilvl="0" w:tplc="2DC8D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B10E6"/>
    <w:multiLevelType w:val="hybridMultilevel"/>
    <w:tmpl w:val="F7D2E76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15"/>
  </w:num>
  <w:num w:numId="5">
    <w:abstractNumId w:val="36"/>
  </w:num>
  <w:num w:numId="6">
    <w:abstractNumId w:val="2"/>
  </w:num>
  <w:num w:numId="7">
    <w:abstractNumId w:val="41"/>
  </w:num>
  <w:num w:numId="8">
    <w:abstractNumId w:val="38"/>
  </w:num>
  <w:num w:numId="9">
    <w:abstractNumId w:val="17"/>
  </w:num>
  <w:num w:numId="10">
    <w:abstractNumId w:val="37"/>
  </w:num>
  <w:num w:numId="11">
    <w:abstractNumId w:val="12"/>
  </w:num>
  <w:num w:numId="12">
    <w:abstractNumId w:val="20"/>
  </w:num>
  <w:num w:numId="13">
    <w:abstractNumId w:val="32"/>
  </w:num>
  <w:num w:numId="14">
    <w:abstractNumId w:val="35"/>
  </w:num>
  <w:num w:numId="15">
    <w:abstractNumId w:val="9"/>
  </w:num>
  <w:num w:numId="16">
    <w:abstractNumId w:val="0"/>
  </w:num>
  <w:num w:numId="17">
    <w:abstractNumId w:val="25"/>
  </w:num>
  <w:num w:numId="18">
    <w:abstractNumId w:val="23"/>
  </w:num>
  <w:num w:numId="19">
    <w:abstractNumId w:val="4"/>
  </w:num>
  <w:num w:numId="20">
    <w:abstractNumId w:val="1"/>
  </w:num>
  <w:num w:numId="21">
    <w:abstractNumId w:val="14"/>
  </w:num>
  <w:num w:numId="22">
    <w:abstractNumId w:val="43"/>
  </w:num>
  <w:num w:numId="23">
    <w:abstractNumId w:val="5"/>
  </w:num>
  <w:num w:numId="24">
    <w:abstractNumId w:val="18"/>
  </w:num>
  <w:num w:numId="25">
    <w:abstractNumId w:val="26"/>
  </w:num>
  <w:num w:numId="26">
    <w:abstractNumId w:val="3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13"/>
  </w:num>
  <w:num w:numId="31">
    <w:abstractNumId w:val="31"/>
  </w:num>
  <w:num w:numId="32">
    <w:abstractNumId w:val="10"/>
  </w:num>
  <w:num w:numId="33">
    <w:abstractNumId w:val="19"/>
  </w:num>
  <w:num w:numId="34">
    <w:abstractNumId w:val="42"/>
  </w:num>
  <w:num w:numId="35">
    <w:abstractNumId w:val="8"/>
  </w:num>
  <w:num w:numId="36">
    <w:abstractNumId w:val="22"/>
  </w:num>
  <w:num w:numId="37">
    <w:abstractNumId w:val="3"/>
  </w:num>
  <w:num w:numId="38">
    <w:abstractNumId w:val="21"/>
  </w:num>
  <w:num w:numId="39">
    <w:abstractNumId w:val="16"/>
  </w:num>
  <w:num w:numId="40">
    <w:abstractNumId w:val="33"/>
  </w:num>
  <w:num w:numId="41">
    <w:abstractNumId w:val="39"/>
  </w:num>
  <w:num w:numId="42">
    <w:abstractNumId w:val="7"/>
  </w:num>
  <w:num w:numId="43">
    <w:abstractNumId w:val="40"/>
  </w:num>
  <w:num w:numId="44">
    <w:abstractNumId w:val="2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2E"/>
    <w:rsid w:val="00003588"/>
    <w:rsid w:val="0000754A"/>
    <w:rsid w:val="00015616"/>
    <w:rsid w:val="000265E2"/>
    <w:rsid w:val="00026EB9"/>
    <w:rsid w:val="0004063E"/>
    <w:rsid w:val="000414A3"/>
    <w:rsid w:val="000456DF"/>
    <w:rsid w:val="00051500"/>
    <w:rsid w:val="00054307"/>
    <w:rsid w:val="00062590"/>
    <w:rsid w:val="00094B25"/>
    <w:rsid w:val="00094DED"/>
    <w:rsid w:val="000A457A"/>
    <w:rsid w:val="000A592A"/>
    <w:rsid w:val="000A7217"/>
    <w:rsid w:val="000C1420"/>
    <w:rsid w:val="000C678A"/>
    <w:rsid w:val="000D396E"/>
    <w:rsid w:val="000D5B4C"/>
    <w:rsid w:val="000E2CB8"/>
    <w:rsid w:val="000E3091"/>
    <w:rsid w:val="000E49BD"/>
    <w:rsid w:val="000E4D38"/>
    <w:rsid w:val="000E5D2B"/>
    <w:rsid w:val="001035BB"/>
    <w:rsid w:val="00116B49"/>
    <w:rsid w:val="00120800"/>
    <w:rsid w:val="001245CC"/>
    <w:rsid w:val="001301AB"/>
    <w:rsid w:val="00132C23"/>
    <w:rsid w:val="00134A3B"/>
    <w:rsid w:val="00152229"/>
    <w:rsid w:val="00165D23"/>
    <w:rsid w:val="00167B1D"/>
    <w:rsid w:val="00175369"/>
    <w:rsid w:val="00182CAF"/>
    <w:rsid w:val="00190D2B"/>
    <w:rsid w:val="001A07D9"/>
    <w:rsid w:val="001A32A5"/>
    <w:rsid w:val="001A34FA"/>
    <w:rsid w:val="001A41AB"/>
    <w:rsid w:val="001A6AFE"/>
    <w:rsid w:val="001B0652"/>
    <w:rsid w:val="001B2B8F"/>
    <w:rsid w:val="001B5BDB"/>
    <w:rsid w:val="001B6593"/>
    <w:rsid w:val="001D00D9"/>
    <w:rsid w:val="001D55C7"/>
    <w:rsid w:val="001F647E"/>
    <w:rsid w:val="001F76AF"/>
    <w:rsid w:val="002027BE"/>
    <w:rsid w:val="00203E97"/>
    <w:rsid w:val="002109BD"/>
    <w:rsid w:val="00211DE9"/>
    <w:rsid w:val="002160F5"/>
    <w:rsid w:val="0023236F"/>
    <w:rsid w:val="002331B5"/>
    <w:rsid w:val="002502A8"/>
    <w:rsid w:val="00253EE3"/>
    <w:rsid w:val="00263CE3"/>
    <w:rsid w:val="00265E8C"/>
    <w:rsid w:val="002661CA"/>
    <w:rsid w:val="00287A0E"/>
    <w:rsid w:val="0029707F"/>
    <w:rsid w:val="0029709A"/>
    <w:rsid w:val="002A0A70"/>
    <w:rsid w:val="002A45C7"/>
    <w:rsid w:val="002B1D78"/>
    <w:rsid w:val="002B2101"/>
    <w:rsid w:val="002B3522"/>
    <w:rsid w:val="002C03A6"/>
    <w:rsid w:val="002D27B2"/>
    <w:rsid w:val="002D52E6"/>
    <w:rsid w:val="002D5ABE"/>
    <w:rsid w:val="00304B0B"/>
    <w:rsid w:val="0031077B"/>
    <w:rsid w:val="00315539"/>
    <w:rsid w:val="00315728"/>
    <w:rsid w:val="003167D7"/>
    <w:rsid w:val="00320D21"/>
    <w:rsid w:val="003257DD"/>
    <w:rsid w:val="003278C5"/>
    <w:rsid w:val="00330562"/>
    <w:rsid w:val="003321EB"/>
    <w:rsid w:val="00334A9D"/>
    <w:rsid w:val="00335E97"/>
    <w:rsid w:val="00341D32"/>
    <w:rsid w:val="00352A81"/>
    <w:rsid w:val="00361100"/>
    <w:rsid w:val="003729C0"/>
    <w:rsid w:val="00376007"/>
    <w:rsid w:val="003808B0"/>
    <w:rsid w:val="00384FBC"/>
    <w:rsid w:val="00385A70"/>
    <w:rsid w:val="00386C6D"/>
    <w:rsid w:val="003A0042"/>
    <w:rsid w:val="003A3B04"/>
    <w:rsid w:val="003A57F3"/>
    <w:rsid w:val="003B5A39"/>
    <w:rsid w:val="003B761B"/>
    <w:rsid w:val="003E0F5F"/>
    <w:rsid w:val="003E1925"/>
    <w:rsid w:val="003E469A"/>
    <w:rsid w:val="003E61BE"/>
    <w:rsid w:val="003E7639"/>
    <w:rsid w:val="003F1DB1"/>
    <w:rsid w:val="004033A3"/>
    <w:rsid w:val="00406A30"/>
    <w:rsid w:val="00417942"/>
    <w:rsid w:val="00421B07"/>
    <w:rsid w:val="00422023"/>
    <w:rsid w:val="00427590"/>
    <w:rsid w:val="0043249B"/>
    <w:rsid w:val="00433906"/>
    <w:rsid w:val="00446007"/>
    <w:rsid w:val="004543FB"/>
    <w:rsid w:val="00457944"/>
    <w:rsid w:val="00463B9A"/>
    <w:rsid w:val="00475A81"/>
    <w:rsid w:val="00493A30"/>
    <w:rsid w:val="004C6842"/>
    <w:rsid w:val="004C6D5A"/>
    <w:rsid w:val="004C7673"/>
    <w:rsid w:val="004D38A0"/>
    <w:rsid w:val="004F3015"/>
    <w:rsid w:val="00502C3A"/>
    <w:rsid w:val="00513F2A"/>
    <w:rsid w:val="00515DFC"/>
    <w:rsid w:val="00516959"/>
    <w:rsid w:val="00521ABF"/>
    <w:rsid w:val="00537D46"/>
    <w:rsid w:val="005416D6"/>
    <w:rsid w:val="00547B11"/>
    <w:rsid w:val="00557F82"/>
    <w:rsid w:val="0056236D"/>
    <w:rsid w:val="0056651F"/>
    <w:rsid w:val="00572611"/>
    <w:rsid w:val="00572B2F"/>
    <w:rsid w:val="00591B22"/>
    <w:rsid w:val="005B16E6"/>
    <w:rsid w:val="005B289B"/>
    <w:rsid w:val="005C25EC"/>
    <w:rsid w:val="005C2956"/>
    <w:rsid w:val="005C3049"/>
    <w:rsid w:val="005D4012"/>
    <w:rsid w:val="005D4558"/>
    <w:rsid w:val="005E4F7A"/>
    <w:rsid w:val="005E6685"/>
    <w:rsid w:val="005F2010"/>
    <w:rsid w:val="00601D00"/>
    <w:rsid w:val="0061161B"/>
    <w:rsid w:val="00613549"/>
    <w:rsid w:val="006202E1"/>
    <w:rsid w:val="00622AAB"/>
    <w:rsid w:val="006232C5"/>
    <w:rsid w:val="006269B5"/>
    <w:rsid w:val="00634289"/>
    <w:rsid w:val="0063664E"/>
    <w:rsid w:val="00650DDC"/>
    <w:rsid w:val="006603FF"/>
    <w:rsid w:val="006616FE"/>
    <w:rsid w:val="006678D1"/>
    <w:rsid w:val="00673553"/>
    <w:rsid w:val="00675CDC"/>
    <w:rsid w:val="00675CEA"/>
    <w:rsid w:val="006837B8"/>
    <w:rsid w:val="0068669F"/>
    <w:rsid w:val="00686FB1"/>
    <w:rsid w:val="0069088F"/>
    <w:rsid w:val="00692251"/>
    <w:rsid w:val="00693848"/>
    <w:rsid w:val="00693D9A"/>
    <w:rsid w:val="00694B1D"/>
    <w:rsid w:val="00697DF7"/>
    <w:rsid w:val="006B2C03"/>
    <w:rsid w:val="006B458F"/>
    <w:rsid w:val="006B61F4"/>
    <w:rsid w:val="006C4F86"/>
    <w:rsid w:val="006D0BE9"/>
    <w:rsid w:val="006D1EB5"/>
    <w:rsid w:val="006D464D"/>
    <w:rsid w:val="006D4931"/>
    <w:rsid w:val="006E46A8"/>
    <w:rsid w:val="006E5A6D"/>
    <w:rsid w:val="006F6D0E"/>
    <w:rsid w:val="0070129B"/>
    <w:rsid w:val="007066EC"/>
    <w:rsid w:val="0071125E"/>
    <w:rsid w:val="00723A74"/>
    <w:rsid w:val="0072658A"/>
    <w:rsid w:val="00733100"/>
    <w:rsid w:val="007403F0"/>
    <w:rsid w:val="007430FA"/>
    <w:rsid w:val="007528D9"/>
    <w:rsid w:val="00752A59"/>
    <w:rsid w:val="007533A1"/>
    <w:rsid w:val="007574E4"/>
    <w:rsid w:val="00764AF8"/>
    <w:rsid w:val="00772327"/>
    <w:rsid w:val="007726A3"/>
    <w:rsid w:val="00780392"/>
    <w:rsid w:val="00780A5D"/>
    <w:rsid w:val="00784112"/>
    <w:rsid w:val="00794740"/>
    <w:rsid w:val="007A2CD6"/>
    <w:rsid w:val="007A390C"/>
    <w:rsid w:val="007B2844"/>
    <w:rsid w:val="007C3467"/>
    <w:rsid w:val="007C3A72"/>
    <w:rsid w:val="007C4788"/>
    <w:rsid w:val="007C7076"/>
    <w:rsid w:val="007D7E0F"/>
    <w:rsid w:val="007F1030"/>
    <w:rsid w:val="00801578"/>
    <w:rsid w:val="008101D5"/>
    <w:rsid w:val="00811B00"/>
    <w:rsid w:val="00813393"/>
    <w:rsid w:val="00817AF7"/>
    <w:rsid w:val="00824DDA"/>
    <w:rsid w:val="00826586"/>
    <w:rsid w:val="00833D27"/>
    <w:rsid w:val="008428A3"/>
    <w:rsid w:val="00843427"/>
    <w:rsid w:val="00853863"/>
    <w:rsid w:val="008616C7"/>
    <w:rsid w:val="00867DA9"/>
    <w:rsid w:val="00871753"/>
    <w:rsid w:val="00885EF1"/>
    <w:rsid w:val="0089253B"/>
    <w:rsid w:val="00894EDE"/>
    <w:rsid w:val="008A4F04"/>
    <w:rsid w:val="008A5CB3"/>
    <w:rsid w:val="008A78C5"/>
    <w:rsid w:val="008B0D0A"/>
    <w:rsid w:val="008B1FB9"/>
    <w:rsid w:val="008B7B22"/>
    <w:rsid w:val="008C237E"/>
    <w:rsid w:val="008C384E"/>
    <w:rsid w:val="008C5735"/>
    <w:rsid w:val="008D3DD8"/>
    <w:rsid w:val="008D5F0D"/>
    <w:rsid w:val="008E5209"/>
    <w:rsid w:val="008E6746"/>
    <w:rsid w:val="008E6953"/>
    <w:rsid w:val="00903BD0"/>
    <w:rsid w:val="0091189D"/>
    <w:rsid w:val="00911FDF"/>
    <w:rsid w:val="00920044"/>
    <w:rsid w:val="00931A6B"/>
    <w:rsid w:val="00931EA5"/>
    <w:rsid w:val="00932047"/>
    <w:rsid w:val="00940A96"/>
    <w:rsid w:val="00951434"/>
    <w:rsid w:val="009529DC"/>
    <w:rsid w:val="00955903"/>
    <w:rsid w:val="00955D13"/>
    <w:rsid w:val="00966604"/>
    <w:rsid w:val="009679D8"/>
    <w:rsid w:val="00971CDB"/>
    <w:rsid w:val="0097614B"/>
    <w:rsid w:val="00983BCD"/>
    <w:rsid w:val="00987611"/>
    <w:rsid w:val="00996F6D"/>
    <w:rsid w:val="009A2C10"/>
    <w:rsid w:val="009C6ED5"/>
    <w:rsid w:val="009C7751"/>
    <w:rsid w:val="009D72C8"/>
    <w:rsid w:val="009E1665"/>
    <w:rsid w:val="009E1D86"/>
    <w:rsid w:val="009E3D4A"/>
    <w:rsid w:val="009E65D0"/>
    <w:rsid w:val="009F104A"/>
    <w:rsid w:val="009F14C7"/>
    <w:rsid w:val="009F708E"/>
    <w:rsid w:val="00A05854"/>
    <w:rsid w:val="00A16EDF"/>
    <w:rsid w:val="00A2589D"/>
    <w:rsid w:val="00A41036"/>
    <w:rsid w:val="00A43660"/>
    <w:rsid w:val="00A4662E"/>
    <w:rsid w:val="00A52D64"/>
    <w:rsid w:val="00A5544D"/>
    <w:rsid w:val="00A82807"/>
    <w:rsid w:val="00A83DD1"/>
    <w:rsid w:val="00A8468D"/>
    <w:rsid w:val="00A9058C"/>
    <w:rsid w:val="00AB3192"/>
    <w:rsid w:val="00AB75A3"/>
    <w:rsid w:val="00AC7456"/>
    <w:rsid w:val="00AD59B1"/>
    <w:rsid w:val="00AE18DD"/>
    <w:rsid w:val="00AE4ECE"/>
    <w:rsid w:val="00AE5172"/>
    <w:rsid w:val="00AE5E04"/>
    <w:rsid w:val="00AE630B"/>
    <w:rsid w:val="00AE76F4"/>
    <w:rsid w:val="00B06FB4"/>
    <w:rsid w:val="00B20DDC"/>
    <w:rsid w:val="00B22645"/>
    <w:rsid w:val="00B230E0"/>
    <w:rsid w:val="00B27AD1"/>
    <w:rsid w:val="00B3299E"/>
    <w:rsid w:val="00B339D9"/>
    <w:rsid w:val="00B549DF"/>
    <w:rsid w:val="00B55BF2"/>
    <w:rsid w:val="00B6366F"/>
    <w:rsid w:val="00B64031"/>
    <w:rsid w:val="00B670AD"/>
    <w:rsid w:val="00B73309"/>
    <w:rsid w:val="00B8286F"/>
    <w:rsid w:val="00B93E7F"/>
    <w:rsid w:val="00B949A0"/>
    <w:rsid w:val="00B95AE1"/>
    <w:rsid w:val="00B96A90"/>
    <w:rsid w:val="00BA1F7A"/>
    <w:rsid w:val="00BA5D83"/>
    <w:rsid w:val="00BB6B54"/>
    <w:rsid w:val="00BB7638"/>
    <w:rsid w:val="00BC10A7"/>
    <w:rsid w:val="00BC46B7"/>
    <w:rsid w:val="00BD009E"/>
    <w:rsid w:val="00BD6759"/>
    <w:rsid w:val="00BE0427"/>
    <w:rsid w:val="00BE2D83"/>
    <w:rsid w:val="00BF7044"/>
    <w:rsid w:val="00C15DB5"/>
    <w:rsid w:val="00C2462F"/>
    <w:rsid w:val="00C4564E"/>
    <w:rsid w:val="00C5386C"/>
    <w:rsid w:val="00C57EBB"/>
    <w:rsid w:val="00C66BE0"/>
    <w:rsid w:val="00C67875"/>
    <w:rsid w:val="00C71411"/>
    <w:rsid w:val="00C7467C"/>
    <w:rsid w:val="00C75E28"/>
    <w:rsid w:val="00C823C5"/>
    <w:rsid w:val="00C952D8"/>
    <w:rsid w:val="00CA1FB6"/>
    <w:rsid w:val="00CA4869"/>
    <w:rsid w:val="00CC41AA"/>
    <w:rsid w:val="00CD0B63"/>
    <w:rsid w:val="00CD30BC"/>
    <w:rsid w:val="00CD7BDF"/>
    <w:rsid w:val="00CE1F5B"/>
    <w:rsid w:val="00CE7C1D"/>
    <w:rsid w:val="00CF52B7"/>
    <w:rsid w:val="00CF74F2"/>
    <w:rsid w:val="00D0013F"/>
    <w:rsid w:val="00D02790"/>
    <w:rsid w:val="00D039FA"/>
    <w:rsid w:val="00D03C59"/>
    <w:rsid w:val="00D14F43"/>
    <w:rsid w:val="00D17511"/>
    <w:rsid w:val="00D20404"/>
    <w:rsid w:val="00D22D54"/>
    <w:rsid w:val="00D26472"/>
    <w:rsid w:val="00D31583"/>
    <w:rsid w:val="00D37701"/>
    <w:rsid w:val="00D4353B"/>
    <w:rsid w:val="00D626D6"/>
    <w:rsid w:val="00D629A5"/>
    <w:rsid w:val="00D6419E"/>
    <w:rsid w:val="00D649F1"/>
    <w:rsid w:val="00D71D57"/>
    <w:rsid w:val="00D72E0D"/>
    <w:rsid w:val="00DA4E81"/>
    <w:rsid w:val="00DA6186"/>
    <w:rsid w:val="00DB4F62"/>
    <w:rsid w:val="00DB6D88"/>
    <w:rsid w:val="00DB78BF"/>
    <w:rsid w:val="00DD1937"/>
    <w:rsid w:val="00DD7401"/>
    <w:rsid w:val="00DE3C18"/>
    <w:rsid w:val="00DE4B52"/>
    <w:rsid w:val="00DE69C6"/>
    <w:rsid w:val="00DF6E86"/>
    <w:rsid w:val="00E01A9E"/>
    <w:rsid w:val="00E02B31"/>
    <w:rsid w:val="00E16530"/>
    <w:rsid w:val="00E20984"/>
    <w:rsid w:val="00E20B8B"/>
    <w:rsid w:val="00E20E9D"/>
    <w:rsid w:val="00E2256D"/>
    <w:rsid w:val="00E22D97"/>
    <w:rsid w:val="00E27504"/>
    <w:rsid w:val="00E34D7B"/>
    <w:rsid w:val="00E377E1"/>
    <w:rsid w:val="00E37C86"/>
    <w:rsid w:val="00E42874"/>
    <w:rsid w:val="00E5374E"/>
    <w:rsid w:val="00E5427F"/>
    <w:rsid w:val="00E62419"/>
    <w:rsid w:val="00E722F4"/>
    <w:rsid w:val="00E800DB"/>
    <w:rsid w:val="00E84DD5"/>
    <w:rsid w:val="00E91C82"/>
    <w:rsid w:val="00EA035C"/>
    <w:rsid w:val="00EA1A3F"/>
    <w:rsid w:val="00EB1A41"/>
    <w:rsid w:val="00EC0477"/>
    <w:rsid w:val="00EC07E3"/>
    <w:rsid w:val="00EC16FF"/>
    <w:rsid w:val="00EC2474"/>
    <w:rsid w:val="00EC4B17"/>
    <w:rsid w:val="00ED2131"/>
    <w:rsid w:val="00ED704D"/>
    <w:rsid w:val="00EE556A"/>
    <w:rsid w:val="00EF0125"/>
    <w:rsid w:val="00EF2978"/>
    <w:rsid w:val="00EF2BC8"/>
    <w:rsid w:val="00EF3B4B"/>
    <w:rsid w:val="00EF3BA4"/>
    <w:rsid w:val="00F0293A"/>
    <w:rsid w:val="00F0463B"/>
    <w:rsid w:val="00F051EE"/>
    <w:rsid w:val="00F06072"/>
    <w:rsid w:val="00F065C7"/>
    <w:rsid w:val="00F07175"/>
    <w:rsid w:val="00F074DD"/>
    <w:rsid w:val="00F127AD"/>
    <w:rsid w:val="00F16518"/>
    <w:rsid w:val="00F2246F"/>
    <w:rsid w:val="00F2646C"/>
    <w:rsid w:val="00F2646F"/>
    <w:rsid w:val="00F27B41"/>
    <w:rsid w:val="00F32B9C"/>
    <w:rsid w:val="00F333E7"/>
    <w:rsid w:val="00F353D8"/>
    <w:rsid w:val="00F42E33"/>
    <w:rsid w:val="00F56F0C"/>
    <w:rsid w:val="00F65904"/>
    <w:rsid w:val="00F753F6"/>
    <w:rsid w:val="00F91AD9"/>
    <w:rsid w:val="00FA269D"/>
    <w:rsid w:val="00FA5730"/>
    <w:rsid w:val="00FB2C90"/>
    <w:rsid w:val="00FC2852"/>
    <w:rsid w:val="00FC3D33"/>
    <w:rsid w:val="00FC511A"/>
    <w:rsid w:val="00FD3893"/>
    <w:rsid w:val="00FE0417"/>
    <w:rsid w:val="00FE0AD0"/>
    <w:rsid w:val="00FE7FF8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3496"/>
  <w15:docId w15:val="{7D0703D5-8BA7-43FD-984F-08FD039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20"/>
    <w:pPr>
      <w:ind w:left="720"/>
      <w:contextualSpacing/>
    </w:pPr>
  </w:style>
  <w:style w:type="paragraph" w:customStyle="1" w:styleId="stil1tekst">
    <w:name w:val="stil_1tekst"/>
    <w:basedOn w:val="Normal"/>
    <w:rsid w:val="007C3467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0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BDF"/>
    <w:pPr>
      <w:spacing w:after="0" w:line="240" w:lineRule="auto"/>
    </w:pPr>
  </w:style>
  <w:style w:type="character" w:styleId="Emphasis">
    <w:name w:val="Emphasis"/>
    <w:uiPriority w:val="20"/>
    <w:qFormat/>
    <w:rsid w:val="00D626D6"/>
    <w:rPr>
      <w:i/>
      <w:iCs/>
    </w:rPr>
  </w:style>
  <w:style w:type="character" w:customStyle="1" w:styleId="rvts3">
    <w:name w:val="rvts3"/>
    <w:basedOn w:val="DefaultParagraphFont"/>
    <w:rsid w:val="00871753"/>
  </w:style>
  <w:style w:type="paragraph" w:customStyle="1" w:styleId="rvps1">
    <w:name w:val="rvps1"/>
    <w:basedOn w:val="Normal"/>
    <w:rsid w:val="0087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175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1753"/>
    <w:rPr>
      <w:rFonts w:ascii="Consolas" w:eastAsia="Calibri" w:hAnsi="Consolas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7175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sr-Latn-RS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71753"/>
    <w:rPr>
      <w:rFonts w:ascii="Times New Roman" w:eastAsia="Calibri" w:hAnsi="Times New Roman" w:cs="Times New Roman"/>
      <w:sz w:val="24"/>
      <w:szCs w:val="24"/>
      <w:lang w:val="sr-Latn-RS" w:eastAsia="en-GB"/>
    </w:rPr>
  </w:style>
  <w:style w:type="character" w:styleId="Hyperlink">
    <w:name w:val="Hyperlink"/>
    <w:uiPriority w:val="99"/>
    <w:unhideWhenUsed/>
    <w:rsid w:val="000265E2"/>
    <w:rPr>
      <w:color w:val="000080"/>
      <w:u w:val="single"/>
    </w:rPr>
  </w:style>
  <w:style w:type="paragraph" w:customStyle="1" w:styleId="stil4clan">
    <w:name w:val="stil_4clan"/>
    <w:basedOn w:val="Normal"/>
    <w:rsid w:val="000265E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B1"/>
  </w:style>
  <w:style w:type="paragraph" w:styleId="Footer">
    <w:name w:val="footer"/>
    <w:basedOn w:val="Normal"/>
    <w:link w:val="FooterChar"/>
    <w:uiPriority w:val="99"/>
    <w:unhideWhenUsed/>
    <w:rsid w:val="0068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8508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7471406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972767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2493121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0017913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1224199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2786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76082799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590666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4038912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8653950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0939874">
          <w:marLeft w:val="0"/>
          <w:marRight w:val="0"/>
          <w:marTop w:val="0"/>
          <w:marBottom w:val="9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61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zarazvoj.gov.rs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F932-8554-474E-882E-73085C8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vesna.vucetic@fondzarazvoj.rs</dc:creator>
  <cp:lastModifiedBy>Biljana Savkovic</cp:lastModifiedBy>
  <cp:revision>2</cp:revision>
  <cp:lastPrinted>2022-03-24T08:29:00Z</cp:lastPrinted>
  <dcterms:created xsi:type="dcterms:W3CDTF">2022-04-20T15:13:00Z</dcterms:created>
  <dcterms:modified xsi:type="dcterms:W3CDTF">2022-04-20T15:13:00Z</dcterms:modified>
</cp:coreProperties>
</file>