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5"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915"/>
      </w:tblGrid>
      <w:tr w:rsidR="00AF22EC" w:rsidRPr="00AF22EC" w:rsidTr="00AF22EC">
        <w:trPr>
          <w:trHeight w:val="368"/>
          <w:tblCellSpacing w:w="15" w:type="dxa"/>
        </w:trPr>
        <w:tc>
          <w:tcPr>
            <w:tcW w:w="9855" w:type="dxa"/>
            <w:vMerge w:val="restart"/>
            <w:shd w:val="clear" w:color="auto" w:fill="A41E1C"/>
            <w:vAlign w:val="center"/>
            <w:hideMark/>
          </w:tcPr>
          <w:p w:rsidR="00AF22EC" w:rsidRPr="00AF22EC" w:rsidRDefault="00AF22EC" w:rsidP="00AF22EC">
            <w:pPr>
              <w:spacing w:after="0" w:line="672" w:lineRule="atLeast"/>
              <w:ind w:right="975"/>
              <w:jc w:val="center"/>
              <w:outlineLvl w:val="5"/>
              <w:rPr>
                <w:rFonts w:ascii="Arial" w:eastAsia="Times New Roman" w:hAnsi="Arial" w:cs="Arial"/>
                <w:b/>
                <w:bCs/>
                <w:color w:val="FFE8BF"/>
                <w:sz w:val="42"/>
                <w:szCs w:val="42"/>
                <w:lang w:eastAsia="sr-Latn-RS"/>
              </w:rPr>
            </w:pPr>
            <w:r w:rsidRPr="00AF22EC">
              <w:rPr>
                <w:rFonts w:ascii="Arial" w:eastAsia="Times New Roman" w:hAnsi="Arial" w:cs="Arial"/>
                <w:b/>
                <w:bCs/>
                <w:color w:val="FFE8BF"/>
                <w:sz w:val="42"/>
                <w:szCs w:val="42"/>
                <w:lang w:eastAsia="sr-Latn-RS"/>
              </w:rPr>
              <w:t>СТРАТЕГИЈА</w:t>
            </w:r>
          </w:p>
          <w:p w:rsidR="00AF22EC" w:rsidRPr="00AF22EC" w:rsidRDefault="00AF22EC" w:rsidP="00AF22EC">
            <w:pPr>
              <w:spacing w:after="0" w:line="240" w:lineRule="auto"/>
              <w:ind w:right="975"/>
              <w:jc w:val="center"/>
              <w:outlineLvl w:val="5"/>
              <w:rPr>
                <w:rFonts w:ascii="Arial" w:eastAsia="Times New Roman" w:hAnsi="Arial" w:cs="Arial"/>
                <w:b/>
                <w:bCs/>
                <w:color w:val="FFFFFF"/>
                <w:sz w:val="39"/>
                <w:szCs w:val="39"/>
                <w:lang w:eastAsia="sr-Latn-RS"/>
              </w:rPr>
            </w:pPr>
            <w:r w:rsidRPr="00AF22EC">
              <w:rPr>
                <w:rFonts w:ascii="Arial" w:eastAsia="Times New Roman" w:hAnsi="Arial" w:cs="Arial"/>
                <w:b/>
                <w:bCs/>
                <w:color w:val="FFFFFF"/>
                <w:sz w:val="39"/>
                <w:szCs w:val="39"/>
                <w:lang w:eastAsia="sr-Latn-RS"/>
              </w:rPr>
              <w:t>ЗА ПОДРШКУ РАЗВОЈА МАЛИХ И СРЕДЊИХ ПРЕДУЗЕЋА, ПРЕДУЗЕТНИШТВА И КОНКУРЕНТНОСТИ ЗА ПЕРИОД ОД 2015. ДО 2020. ГОДИНЕ</w:t>
            </w:r>
          </w:p>
          <w:p w:rsidR="00AF22EC" w:rsidRPr="00AF22EC" w:rsidRDefault="00AF22EC" w:rsidP="00AF22EC">
            <w:pPr>
              <w:shd w:val="clear" w:color="auto" w:fill="000000"/>
              <w:spacing w:before="100" w:beforeAutospacing="1" w:after="100" w:afterAutospacing="1" w:line="339" w:lineRule="atLeast"/>
              <w:jc w:val="center"/>
              <w:rPr>
                <w:rFonts w:ascii="Arial" w:eastAsia="Times New Roman" w:hAnsi="Arial" w:cs="Arial"/>
                <w:i/>
                <w:iCs/>
                <w:color w:val="FFE8BF"/>
                <w:sz w:val="32"/>
                <w:szCs w:val="32"/>
                <w:lang w:eastAsia="sr-Latn-RS"/>
              </w:rPr>
            </w:pPr>
            <w:r w:rsidRPr="00AF22EC">
              <w:rPr>
                <w:rFonts w:ascii="Arial" w:eastAsia="Times New Roman" w:hAnsi="Arial" w:cs="Arial"/>
                <w:i/>
                <w:iCs/>
                <w:color w:val="FFE8BF"/>
                <w:sz w:val="32"/>
                <w:szCs w:val="32"/>
                <w:lang w:eastAsia="sr-Latn-RS"/>
              </w:rPr>
              <w:t>("Сл. гласник РС", бр. 35/2015)</w:t>
            </w:r>
          </w:p>
        </w:tc>
      </w:tr>
      <w:tr w:rsidR="00AF22EC" w:rsidRPr="00AF22EC" w:rsidTr="00AF22EC">
        <w:trPr>
          <w:trHeight w:val="368"/>
          <w:tblCellSpacing w:w="15" w:type="dxa"/>
        </w:trPr>
        <w:tc>
          <w:tcPr>
            <w:tcW w:w="9855" w:type="dxa"/>
            <w:vMerge/>
            <w:shd w:val="clear" w:color="auto" w:fill="A41E1C"/>
            <w:vAlign w:val="center"/>
            <w:hideMark/>
          </w:tcPr>
          <w:p w:rsidR="00AF22EC" w:rsidRPr="00AF22EC" w:rsidRDefault="00AF22EC" w:rsidP="00AF22EC">
            <w:pPr>
              <w:spacing w:after="0" w:line="240" w:lineRule="auto"/>
              <w:rPr>
                <w:rFonts w:ascii="Arial" w:eastAsia="Times New Roman" w:hAnsi="Arial" w:cs="Arial"/>
                <w:i/>
                <w:iCs/>
                <w:color w:val="FFE8BF"/>
                <w:sz w:val="32"/>
                <w:szCs w:val="32"/>
                <w:lang w:eastAsia="sr-Latn-RS"/>
              </w:rPr>
            </w:pPr>
          </w:p>
        </w:tc>
      </w:tr>
    </w:tbl>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t> </w:t>
      </w:r>
    </w:p>
    <w:p w:rsidR="00AF22EC" w:rsidRPr="00AF22EC" w:rsidRDefault="00AF22EC" w:rsidP="00AF22EC">
      <w:pPr>
        <w:spacing w:after="0" w:line="240" w:lineRule="auto"/>
        <w:jc w:val="center"/>
        <w:rPr>
          <w:rFonts w:ascii="Arial" w:eastAsia="Times New Roman" w:hAnsi="Arial" w:cs="Arial"/>
          <w:color w:val="000000"/>
          <w:sz w:val="36"/>
          <w:szCs w:val="36"/>
          <w:lang w:eastAsia="sr-Latn-RS"/>
        </w:rPr>
      </w:pPr>
      <w:bookmarkStart w:id="0" w:name="str_1"/>
      <w:bookmarkEnd w:id="0"/>
      <w:r w:rsidRPr="00AF22EC">
        <w:rPr>
          <w:rFonts w:ascii="Arial" w:eastAsia="Times New Roman" w:hAnsi="Arial" w:cs="Arial"/>
          <w:color w:val="000000"/>
          <w:sz w:val="36"/>
          <w:szCs w:val="36"/>
          <w:lang w:eastAsia="sr-Latn-RS"/>
        </w:rPr>
        <w:t>И ПОЛАЗНА ОСНОВА </w:t>
      </w:r>
    </w:p>
    <w:p w:rsidR="00AF22EC" w:rsidRPr="00AF22EC" w:rsidRDefault="00AF22EC" w:rsidP="00DF6BB7">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Предуслов за остваривање одрживог друштвено-економског развоја и успешан завршетак процеса европских интеграција Републике Србије је развој привреде, која своју дугорочну конкурентност гради на приватној предузетничкој иницијативи, знању, примени нових технологија и иновативности. </w:t>
      </w:r>
    </w:p>
    <w:p w:rsidR="00AF22EC" w:rsidRPr="00AF22EC" w:rsidRDefault="00AF22EC" w:rsidP="00DF6BB7">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Стратегија за подршку развоја малих и средњих предузећа, предузетништва и конкурентности за период од 2015. до 2020. године (у даљем тексту: Стратегија) утврђује оквир, циљеве, приоритете и мере за унапређење развоја микро, малих и средњих предузећа и предузетништва у наредном средњорочном периоду. </w:t>
      </w:r>
    </w:p>
    <w:p w:rsidR="00AF22EC" w:rsidRPr="00AF22EC" w:rsidRDefault="00AF22EC" w:rsidP="00AF22EC">
      <w:pPr>
        <w:spacing w:before="240" w:after="120" w:line="240" w:lineRule="auto"/>
        <w:jc w:val="center"/>
        <w:rPr>
          <w:rFonts w:ascii="Arial" w:eastAsia="Times New Roman" w:hAnsi="Arial" w:cs="Arial"/>
          <w:b/>
          <w:bCs/>
          <w:color w:val="000000"/>
          <w:sz w:val="29"/>
          <w:szCs w:val="29"/>
          <w:lang w:eastAsia="sr-Latn-RS"/>
        </w:rPr>
      </w:pPr>
      <w:r w:rsidRPr="00AF22EC">
        <w:rPr>
          <w:rFonts w:ascii="Arial" w:eastAsia="Times New Roman" w:hAnsi="Arial" w:cs="Arial"/>
          <w:b/>
          <w:bCs/>
          <w:color w:val="000000"/>
          <w:sz w:val="29"/>
          <w:szCs w:val="29"/>
          <w:lang w:eastAsia="sr-Latn-RS"/>
        </w:rPr>
        <w:t>Стратешки оквир </w:t>
      </w:r>
    </w:p>
    <w:p w:rsidR="00AF22EC" w:rsidRPr="00AF22EC" w:rsidRDefault="00AF22EC" w:rsidP="00DF6BB7">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Стратегија представља део стратешког оквира за развој конкурентности привреде Републике Србије и комплементарна је са раније усвојеним документима у овој области, пре свега са Стратегијом развоја индустрије Републике Србије од 2011. до 2020. године ("Службени гласник РС", број 55/11). </w:t>
      </w:r>
    </w:p>
    <w:p w:rsidR="00AF22EC" w:rsidRPr="00AF22EC" w:rsidRDefault="00AF22EC" w:rsidP="00DF6BB7">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Предмет ове стратегије односи се на унапређење услова за развој и конкурентност микро, малих и средњих привредних друштава и предузетника (у даљем тексту: МСПП). </w:t>
      </w:r>
    </w:p>
    <w:p w:rsidR="00AF22EC" w:rsidRPr="00AF22EC" w:rsidRDefault="00AF22EC" w:rsidP="00DF6BB7">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 обзиром да политика развоја предузетништва и конкурентности има елементе хоризонталне политике, поједине области ове стратегије већ су у мањој или већој мери обухваћене другим стратешким документима, као што је то случај код области запошљавања, развоја људских ресурса и пословне инфраструктуре. У овим областима, Стратегија, полазећи од већ утврђених стратешких одредница датих у раније усвојеним стратешким документима, доноси додатне садржаје, који су усклађени и представљају континуитет у односу на раније утврђене приоритете. </w:t>
      </w:r>
    </w:p>
    <w:p w:rsidR="00AF22EC" w:rsidRPr="00AF22EC" w:rsidRDefault="00AF22EC" w:rsidP="00DF6BB7">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Стратегија у националном стратешком оквиру, замењује Стратегију развоја конкурентних и иновативних малих и средњих предузећа за период од 2008. до 2013. године, претходни стратешки документ, чији је временски период истекао. Обе стратегије деле заједничко полазиште, циљеве и принципе, те нова Стратегија представља логичан наставак и надоградњу досадашње политике у овој области. На тај начин обезбеђена је усклађеност новог стратешког документа са стратешким и планским документима, који су раније донети. </w:t>
      </w:r>
    </w:p>
    <w:p w:rsidR="00AF22EC" w:rsidRPr="00AF22EC" w:rsidRDefault="00AF22EC" w:rsidP="00DF6BB7">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Стратегијом се наставља политика пуног уважавања и примене свих докумената који утврђују политику Европске уније (у даљем тексту: ЕУ) у области предузетништва и конкурентности, пре свега Стратегије Европа 2020 и Акта о малим предузећима. Мере за спровођење приоритета из ових докумената, саставни су део акционих планова за реализацију ове стратегије и у случајевима када нису изричито обухваћени њеним садржајем. </w:t>
      </w:r>
    </w:p>
    <w:p w:rsidR="00AF22EC" w:rsidRPr="00AF22EC" w:rsidRDefault="00AF22EC" w:rsidP="00DF6BB7">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Принципи Акта о малим предузећима, који представљају оквир политике развоја малих предузећа у ЕУ су, у великој мери, обухваћени Стратегијом. </w:t>
      </w:r>
    </w:p>
    <w:p w:rsidR="00AF22EC" w:rsidRPr="00AF22EC" w:rsidRDefault="00AF22EC" w:rsidP="00DF6BB7">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Усклађеност Стратегије са Актом о малим предузећима приказани су у Табели 1 - Веза Стратегије и Акта о малим предузећима. </w:t>
      </w:r>
    </w:p>
    <w:p w:rsidR="00AF22EC" w:rsidRPr="00AF22EC" w:rsidRDefault="00AF22EC" w:rsidP="00AF22EC">
      <w:pPr>
        <w:spacing w:before="100" w:beforeAutospacing="1" w:after="100" w:afterAutospacing="1" w:line="240" w:lineRule="auto"/>
        <w:jc w:val="center"/>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Табела 1 - Веза Стратегије и Акта о малим предузећима </w:t>
      </w:r>
    </w:p>
    <w:tbl>
      <w:tblPr>
        <w:tblW w:w="9914"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760"/>
        <w:gridCol w:w="4154"/>
      </w:tblGrid>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 о малим предузећима </w:t>
            </w:r>
          </w:p>
        </w:tc>
        <w:tc>
          <w:tcPr>
            <w:tcW w:w="209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Стратегија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1. Принцип: Стварање окружења у којем предузетници и породичне фирме могу да се развијају, а предузетништво може да се награђује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3 Континуирани развој људских ресурса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1 Мера 3: Развој система неформалног образовања за унапређење знања и вештина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2 Мера 1: Увођење предузетничког образовања у све нивое образовног система Републике Србије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2 Мера 2: Образовање и обука наставника за предузетништво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Стуб 6 Развој и промоција предузетничког духа и подстицање предузетништва </w:t>
            </w:r>
            <w:r w:rsidRPr="00AF22EC">
              <w:rPr>
                <w:rFonts w:ascii="Arial" w:eastAsia="Times New Roman" w:hAnsi="Arial" w:cs="Arial"/>
                <w:sz w:val="26"/>
                <w:szCs w:val="26"/>
                <w:lang w:eastAsia="sr-Latn-RS"/>
              </w:rPr>
              <w:lastRenderedPageBreak/>
              <w:t>жена, младих и социјалног предузетништва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 Принцип: Обезбедити да поштени предузетници који су се суочили са стечајем брзо добију другу шансу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1 Унапређење пословног окружења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1 Мера 1: Унапређење правног оквира за оснивање, пословање и гашење привредних субјеката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3. Принцип: Израдити правила у складу са принципом "Мислимо најпре на мале"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1 Унапређење пословног окружења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1: Успостављање подстицајног регулаторног оквира у складу са потребама и могућностима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3 Мера 1: Обавезно укључивање представника привреде у процес доношења прописа и јавних политика и повећање предвидљивости промена услова пословања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3 Мера 2: Образовање Савета за мала и средња предузећа, предузетништво и конкурентност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3 Мера 4: Укључивање теста утицаја на мала и средња предузећа у анализу ефеката прописа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4. Принцип: Учинити да државна управа излази у сусрет потребама малих и средњих предузећа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1 Унапређење пословног окружења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2 Мера 1: Измене и допуне регулаторног оквира којима се уређује спровођење административних поступака у органима државне управе, аутономних покрајина и локалних самоуправа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Димензија 2 Мера 2: Наставак рада на јачању система електронске управе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2 Мера 3: Успостављање једношалтерског система за пружање што већег броја услуга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5. Принцип: Прилагодити средства јавне политике потребама малих и средњих предузећа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2 Унапређење приступа изворима финансирања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3 Мера 3: Подизање свести код предузетника и свих других заинтересованих страна о расположивости и карактеристикама небанкарских финансијских инструмената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4 Јачање одрживости и конкурентности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1 Мера 3: Даљи развој пословних услуга за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1 Унапређење пословног окружења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2 Мера 5: Побољшање услова за учешће МСПП у јавним набавкама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6. Принцип: Олакшати приступ малим и средњим предузећима финансијама и створити правно и пословно окружење које подржава благовремено плаћање у пословним трансакцијама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2 Унапређење приступа изворима финансирања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7. Принцип: Помоћи малим и средњим предузећима да имају више користи од могућности које пружа јединствено тржиште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5 Унапређење приступа новим тржиштима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2: Смањење и превазилажење техничких препрека трговини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8. Принцип: Подстицати стручно усавршавање и све облике иновација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4 Јачање одрживости и конкурентности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Димензија 1 Мера 4: Даљи развој обука за потенцијалне и постојеће предузетнике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4 Јачање одрживости и конкурентности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3: Јачање иновативности у МСПП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9. Принцип: Омогућити малим и средњим предузећима да искористе промене у заштити животне средине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4 Јачање одрживости и конкурентности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3 Мера 2: Унапредити подршку за високоиновативна МСПП, еко-иновације, унапређење енергетске ефикасности и ефикасног коришћења ресурса </w:t>
            </w:r>
          </w:p>
        </w:tc>
      </w:tr>
      <w:tr w:rsidR="00AF22EC" w:rsidRPr="00AF22EC" w:rsidTr="00AF22EC">
        <w:trPr>
          <w:tblCellSpacing w:w="0" w:type="dxa"/>
        </w:trPr>
        <w:tc>
          <w:tcPr>
            <w:tcW w:w="2905" w:type="pct"/>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10. Принцип: Подстицати и подржавати мала и средња предузећа да искористе тржиште раста </w:t>
            </w:r>
          </w:p>
        </w:tc>
        <w:tc>
          <w:tcPr>
            <w:tcW w:w="2095" w:type="pct"/>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4 Јачање одрживости и конкурентности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4 Мера 2: Креирање нових ланаца вредности и повећање степена финализације производа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Стуб 5 Унапређење приступа новим тржиштима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Димензија 1: Обезбеђивање континуиране подршке МСПП за излазак на нова тржишта </w:t>
            </w:r>
          </w:p>
        </w:tc>
      </w:tr>
    </w:tbl>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Приликом припреме Стратегије посебна пажња посвећена је усклађивању са регионалним стратегијама, које се односе на ову област и доприносу њиховом спровођењу, што се пре свега односи на Регионалну стратегију за раст и развој Југоисточне Европе 2020, као и на Стратегију Европске уније за дунавски регион. </w:t>
      </w:r>
    </w:p>
    <w:p w:rsidR="00AF22EC" w:rsidRPr="00AF22EC" w:rsidRDefault="00AF22EC" w:rsidP="00AF22EC">
      <w:pPr>
        <w:spacing w:after="0" w:line="240" w:lineRule="auto"/>
        <w:jc w:val="center"/>
        <w:rPr>
          <w:rFonts w:ascii="Arial" w:eastAsia="Times New Roman" w:hAnsi="Arial" w:cs="Arial"/>
          <w:color w:val="000000"/>
          <w:sz w:val="36"/>
          <w:szCs w:val="36"/>
          <w:lang w:eastAsia="sr-Latn-RS"/>
        </w:rPr>
      </w:pPr>
      <w:bookmarkStart w:id="1" w:name="str_2"/>
      <w:bookmarkEnd w:id="1"/>
      <w:r w:rsidRPr="00AF22EC">
        <w:rPr>
          <w:rFonts w:ascii="Arial" w:eastAsia="Times New Roman" w:hAnsi="Arial" w:cs="Arial"/>
          <w:color w:val="000000"/>
          <w:sz w:val="36"/>
          <w:szCs w:val="36"/>
          <w:lang w:eastAsia="sr-Latn-RS"/>
        </w:rPr>
        <w:t>II ПРЕГЛЕД СПРОВОЂЕЊА СТРАТЕГИЈЕ РАЗВОЈА КОНКУРЕНТНИХ И ИНОВАТИВНИХ МАЛИХ И СРЕДЊИХ ПРЕДУЗЕЋА ЗА ПЕРИОД ОД 2008. ДО 2013. ГОДИНЕ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Влада је 23. октобра 2008. године, усвојила Стратегију развоја конкурентних и иновативних малих и средњих предузећа за период од 2008. до 2013. године ("Службени гласник РС", број 103/08 - у даљем тексту: Стратегија 08-13) са петогодишњим Оперативним планом за њено спровођење, која је представљала стратешки оквир политике развоја МСПП у Републици Србији у наведеном периоду.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Стратегија 08-13 се базирала на пет стубова који су обухватали: промоцију предузетништва и оснивање нових предузећа, развој људских ресурса за конкурентан сектор МСПП, обезбеђивање више извора финансирања за мала и средња предузећа (у даљем тексту: МСП), подстицање конкурентности овог сектора, као и стварање бољег правног, институционалног и пословног окружења за МСПП у Републици Србији.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Спровођење и праћење реализације Стратегије 08-13 заснивало се на годишњим акционим плановима. Министарство надлежно за послове привреде је, у сарадњи са другим надлежним органима, припремало годишње акционе планове и извештаје о њиховом спровођењу, које је достављало Влади, ради информисања и сагледавања остварених резултата. Праћење реализације годишњих акционих планова спровођено је на основу детаљних кварталних извештаја о реализованим активностима добијених од надлежних институција, док су у годишњим извештајима приказивани најважнији резултати. У процес реализације и извештавања о реализацији акционих планова било је укључено око 30 институција, са који</w:t>
      </w:r>
      <w:bookmarkStart w:id="2" w:name="_GoBack"/>
      <w:bookmarkEnd w:id="2"/>
      <w:r w:rsidRPr="00AF22EC">
        <w:rPr>
          <w:rFonts w:ascii="Arial" w:eastAsia="Times New Roman" w:hAnsi="Arial" w:cs="Arial"/>
          <w:color w:val="000000"/>
          <w:sz w:val="26"/>
          <w:szCs w:val="26"/>
          <w:lang w:eastAsia="sr-Latn-RS"/>
        </w:rPr>
        <w:t>ма је успостављена добра сарадња.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Током периода спровођења Стратегије 08-13, полазећи од мера и активности утврђених петогодишњим Оперативним планом, припремљено је и спроведено пет годишњих акционих планова, у које нису биле укључене све мере и активности предвиђене Оперативним планом. Анализом степена извршења Оперативног плана и годишњих акционих планова, по стубовима, констатовано је следеће.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У оквиру првог стуба Стратегије 08-13 под називом "Промоција и подршка предузетништву и оснивању нових предузећа" предузимане су мере које су имале за циљ да подстакну предузетништво, као и да унапреде подршку развоју нових предузећа. Од планираних активности у оквиру Оперативног плана, око 80% активности је укључено и спроведено кроз годишње акционе планове. Мера унапређења пореског система, предвиђена Оперативним планом, није уврштена и спроведена кроз годишње акционе планове у посматраном периоду. У оквиру промоције и подстицања предузетништва сви догађаји који су планирани на годишњем нивоу су и организовани уз добар одзив учесника. Највећи број догађаја се организовао у оквиру Европске недеље МСП (СМЕ Week), која представља промотивну кампању која се реализује широм Европе са циљем промоције предузетништва, а уз подршку домаћих институција као </w:t>
      </w:r>
      <w:r w:rsidRPr="00AF22EC">
        <w:rPr>
          <w:rFonts w:ascii="Arial" w:eastAsia="Times New Roman" w:hAnsi="Arial" w:cs="Arial"/>
          <w:color w:val="000000"/>
          <w:sz w:val="26"/>
          <w:szCs w:val="26"/>
          <w:lang w:eastAsia="sr-Latn-RS"/>
        </w:rPr>
        <w:lastRenderedPageBreak/>
        <w:t>што су Национална агенција за регионални развој (у даљем тексту: НАРР), Привредна комора Србије (у даљем тексту: ПКС), Удружење пословних жена Србије (у даљем тексту: УПЖ) итд.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мере унапређења подршке развоју нових предузећа предвиђене су активности пружања обука и финансијске подршке за почетнике у бизнису које су, у планираним роковима, спроведене. У оквиру мере пружања кредитне подршке и бесповратних средстава државе, током посматраног петогодишњег периода, значајну улогу су имали следећи инструменти: старт-уп кредити Фонда за развој Републике Србије (9,22 милијарди динара реализованих средстава), субвенције за самозапошљавање Националне службе за запошљавање (2,2 милијарде динара реализованих средстава), као и бесповратна средства НАРР за почетнике у пословању (око 31 милион динара за период од 2012. до 2013. године) и фирме у почетним годинама свог пословања (око 3,5 милијарди динара у 2013. години). Статистички подаци о оснивању нових привредних субјеката указују да је, пре свега, финансијска подршка за почетнике у пословању недовољна и неповољна и да би, у циљу њеног побољшања, требало предузети мере развоја алтернативних извора финансирања. У вези са наведеним, у оквиру Оперативног плана и даље у акционим плановима предвиђена је активност развоја законске регулативе која уређује финансијску подршку за предузећа у почетној фази развоја на бази улагања у капитал предузећа. У оквиру поменуте активности, у 2013. години направљен је помак јер је, на предлог Министарства привреде, припремљен нацрт законског оквира за оснивање фондова предузетног капитала. Обуке за почетнике у пословању, као и предузетничко образовање младих су, у оквиру планираних активности и рокова, спровођени током посматраног периода, а број програма обука се повећавао током година. Са наведеним обукама би се требало наставити и у наредном периоду са нагласком на побољшање квалитета, обима и доступности обука.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првог стуба Стратегије 08-13 посебна пажња је посвећена женском предузетништву и формулисана је мера израде програма финансирања женског предузетништва и ментора женског предузетништва. Ове мере спроводили су, у посматраном периоду, НАРР, и то кроз програм менторинга, а Фонд за развој Републике Србије (у даљем тексту: Фонд за развој) кроз кредитну линију за женско предузетништво (59 милиона динара реализованих средстава за период од 2012. до 2013. године), док је Министарство привреде у 2013. години, имало посебан програм подршке пројектима невладиних организација, поред осталог и за женско предузетништво.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У оквиру другог стуба Стратегије 08-13 који носи назив "Унапређење људских ресурса за конкурентан сектор МСПП", посебна пажња посвећена је развоју предузетничког образовања младих у образовном систему </w:t>
      </w:r>
      <w:r w:rsidRPr="00AF22EC">
        <w:rPr>
          <w:rFonts w:ascii="Arial" w:eastAsia="Times New Roman" w:hAnsi="Arial" w:cs="Arial"/>
          <w:color w:val="000000"/>
          <w:sz w:val="26"/>
          <w:szCs w:val="26"/>
          <w:lang w:eastAsia="sr-Latn-RS"/>
        </w:rPr>
        <w:lastRenderedPageBreak/>
        <w:t>земље и унапређењу система пословних услуга за МСПП. Од планираних активности у оквиру Оперативног плана, око 65% активности је обухваћено и спроведено кроз годишње акционе планове. Спроведене су планиране активности које се односе на промоцију предузетничког образовања, интегрисање предузетништва на све школске нивое (сваке године повећаван је број огледних профила у средњим школама који садрже предмет предузетништво, а који су прешли у редован школски систем - 47 профила у школској 2013/2014. години) и обуке наставног кадра (спровођење акредитованих програма обуке). Изостала је реализација важне активности развоја политике предузетничког образовања на националном нивоу и уређења законског и финансијског оквира за подстицање различитих облика предузетничког образовања (ученичке компаније). Такође, активности предвиђене у оквиру овог стуба, а које се односе на развој стручних капацитета у предузећима кроз стручне праксе у предузећима у ЕУ, као и друге активности у оквиру мере унапређења продуктивности радне снаге у МСП, које се односе на редовно спровођење анализа потреба за радном снагом у МСП и изградњу система издавања признатих сертификата о оспособљености, нису спроведене у целости.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унапређења система пословних услуга за МСПП спроведене су све планиране активности, и то: израда и примена стандардизованог сета услуга према потребама МСПП, обука и сертификација запослених у акредитованим регионалним развојним агенцијама (у даљем тексту: АРРА), сертификација приватних пружалаца пословних услуга и промоција стандардизованог сета услуга. Кроз Програм стандардизованог сета услуга за МСПП, који су спроводили Министарство привреде и НАРР, у периоду од 2012. до 2013. године, реализовано је 62,2 милиона динара. Приметно је повећање реализације ових средстава у 2013. години у односу на 2012. годину за 24%, што показује повећање тражње за обукама и услугама које се пружају кроз поменути програм, и наводи да би требало наставити са спровођењем истог. Такође, у посматраном периоду повећавао се и број АРРА (у 2014. години укупно 14), сертификованих пружалаца услуга (у 2013. години укупно 90) и регистрованих консултантских кућа (у 2013. години укупно 9).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Трећим стубом Стратегије 08-13 под називом "Финансирање и опорезивање МСП", биле су предвиђене мере које имају за циљ већу доступност кредита за МСПП под повољним условима, као и спровођење обука из области финансијског управљања. Такође, обухваћена је и област унапређења ефикасности пореске администрације.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Од планираних активности у оквиру Оперативног плана, око 35% активности било је обухваћено и спроведено кроз годишње акционе планове. Већина активности из мере која се односи на унапређење партнерства између банкарског сектора и МСПП није спроведена. Такође, активности које се односе на успостављање правног оквира за оснивање </w:t>
      </w:r>
      <w:r w:rsidRPr="00AF22EC">
        <w:rPr>
          <w:rFonts w:ascii="Arial" w:eastAsia="Times New Roman" w:hAnsi="Arial" w:cs="Arial"/>
          <w:color w:val="000000"/>
          <w:sz w:val="26"/>
          <w:szCs w:val="26"/>
          <w:lang w:eastAsia="sr-Latn-RS"/>
        </w:rPr>
        <w:lastRenderedPageBreak/>
        <w:t>гаранцијских фондова за локални и регионални развој нису обухваћене нити спроведене у оквиру акционих планова. Активности из Оперативног плана, које се односе на фискалне подстицаје за улагање у МСПП, такође нису обухваћене акционим плановима.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мере веће доступности кредита за МСПП под повољним условима, надлежне институције одобравале су повољнија финансијска средства за МСПП, и то: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1) Фонд за развој, у оквиру петогодишњег периода, реализовао је око 34,6 милијарди динара дугорочних и краткорочних кредита за МСПП и додатних 14 милијарди динара повољних кредита за МСП у неразвијеним јединицама локалне самоуправе;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2) Агенција за осигурање и финансирање извоза реализовала је 161,12 милиона евра краткорочних кредита за извозне компаније, 13,09 милиона евра гаранција и закључила је уговоре у вредности 106,47 милиона евра, по основу осигурања од комерцијалних ризика. Такође, откупила је 115,2 милиона евра потраживања од 222 корисника;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3) Министарство привреде је, у 2013. години, у сарадњи са банкама, реализовало пилот програм под називом "Програм подршке малим предузећима за набавку опреме у 2013. години", кроз који је пружена финансијска подршка у износу од око 93 милиона динара, за улагање у развој и набавку опреме у малим предузећима. У петогодишњем периоду Министарство привреде одобрило је бесповратна финансијска средства за подршку иновативним и брзорастућим МСП у укупном износу од око 190,6 милиона динара;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4) НАРР је спровођењем Програма подршке развоју конкурентности МСПП, суфинансирала, са укупно 280,43 милиона динара, активности предузећа на унапређењу конкурентности.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Од посебног значаја, поготово на почетку светске економске кризе, био је програм субвенционисаних кредита комерцијалних банака за ликвидност и инвестиције, за који су могла да конкуришу и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Кроз програме подршке Министарства привреде и НАРР спровођене су обуке из области финансијског управљања за власнике и менаџере и специјализоване обуке за менаџере и запослене.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области унапређења ефикасности пореске администрације спровођене су предложене активности у оквиру акционих планова Стратегије 08-13, и то тако што се радило на интензивним обукама запослених у пореској администрацији али и пореских обвезника, као и обезбеђивању електронске комуникације са Пореском управом.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Четврти стуб Стратегије 08-13 носи назив "Конкурентне предности МСПП на извозним тржиштима" и обухватао је следеће области: подршка иновацијама, стандарди и контрола квалитета, подршка кластерима и подршка извозу. Од планираних активности у оквиру Оперативног плана, око 70% активности било је обухваћено и спроведено кроз годишње акционе планове. Одређене активности Оперативног плана које се односе на франшизу, као модел пословног повезивања МСПП, нису обухваћене акционим плановима. Такође, мера смањење финансијских и административних баријера за извоз МСПП није спровођена кроз акционе планове током посматраног, петогодишњег периода.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области подршке иновацијама, унапређена је подршка за финансирање иновационих пројеката МСПП. Министарство просвете, науке и технолошког развоја подстицало је иновативне пројекте кроз програм подршке иновационе делатности (из буџета је опредељено у 2013. години 150 милиона динара). Основан је и Фонд за иновациону делатност, који је кроз Пројекат подршке иновацијама у Србији, који се финансира из Националног програма инструмента за претприступну помоћ ЕУ (у даљем тексту: ИПА) за 2011. годину, успоставио два нова програма подршке. У оквиру Програма раног развоја, подржан је 21 пројекат у 2013. години у износу од 723.753,91 евра, а кроз Програм суфинансирања иновација, десет пројеката у износу од 640.421,67 евра. Настављене су и активности промоције иновативности кроз догађаје које су организовали ПКС, Фонд за иновациону делатност, НАРР и др. Са циљем подршке иновацијама, у оквиру акционих планова, предвиђане су и спровођене активности на подстицању учешћа МСПП у међународним иновационим, истраживачким и пословним програмима/мрежама, као што су: Оквирни програм за конкурентност и иновативност (ЦИП), ЕУ програм "Еурека" и Седми оквирни програм (ФП7).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области подршке извозу, у посматраном петогодишњем периоду, Агенција за страна улагања и промоцију извоза (у даљем тексту: СИЕПА) спроводила је Програм подстицања конкурентности и интернационализације српске привреде и у посматраном периоду подржала предузећа и пословна удружења у износу од 506,4 милиона динара. Такође, организовани су групни наступи на сајмовима и редовно је организована манифестација "Извозник године". У оквиру ове области планиране су и активности истраживања циљних тржишта и учешћа домаћих фирми на међународним сајмовима, организација извозних посета за секторе са највећим извозним могућностима као и организација посета страних инвеститора. Ове активности СИЕПА је, уз подршку ПКС, спроводила у посматраном периоду, а најслабији резултати постигнути су у прикупљању информација о циљним тржиштима.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У оквиру активности подршке кластерима, Министарство привреде, а касније НАРР, реализовало је Програм подршке развоју иновативних </w:t>
      </w:r>
      <w:r w:rsidRPr="00AF22EC">
        <w:rPr>
          <w:rFonts w:ascii="Arial" w:eastAsia="Times New Roman" w:hAnsi="Arial" w:cs="Arial"/>
          <w:color w:val="000000"/>
          <w:sz w:val="26"/>
          <w:szCs w:val="26"/>
          <w:lang w:eastAsia="sr-Latn-RS"/>
        </w:rPr>
        <w:lastRenderedPageBreak/>
        <w:t>кластера, у укупном износу за посматрани, петогодишњи период од 113, 6 милиона динара.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области стандарда и контроле квалитета, у акционим плановима Стратегије 08-13 биле су обухваћене активности јачања институционалних капацитета са циљем усклађивања српских стандарда са ИСО и другим међународним стандардима, унапређења институционалне инфраструктуре за подршку квалитету производа, промоције употребе ЦЕ знака и међународних стандарда, пружања директне подршке МСПП за имплементацију стандарда квалитета, као и за сертификацију и др. Све наведене активности спроводиле су се, у посматраном периоду, уз поштовање планираних рокова.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Пети стуб Стратегије 08-13 носио је назив "Правно, институционално и пословно окружење МСП у Србији", а обухватао је активности успостављања правног оквира који подстиче развој МСПП, ефикасне јавне услуге за МСПП и развијања регионалне инфраструктуре за подршку МСПП. Од планираних активности у оквиру Оперативног плана, око 75% активности је обухваћено и спроведено кроз годишње акционе планове. Мера Оперативног плана, која се односи на допринос унапређењу рада судова, арбитраже и других независних органа и тела, у највећем делу није спроведена.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успостављања правног оквира који подстиче развој МСПП, предвиђене су и спроведене, али не у потпуности, активности "Свеобухватне реформе прописа" (у даљем тексту: СРП). Напредак је остварен и у погледу примене Анализе ефеката прописа. Измењен је велики број постојећих и донети су нови закони, у циљу унапређења пословног окружења, као што су: Закон о роковима измирења новчаних обавеза у комерцијалним трансакцијама ("Службени гласник РС", број 119/12), Закон о ревизији ("Службени гласник РС", број 62/13), Закон о рачуноводству ("Службени гласник РС", број 62/13), Закон о факторингу ("Службени гласник РС", бр. 18/10, 101/11, 119/12, 47/13, 108/13, 68/14 - др. закон и 142/14), Закон о изменама и допунама Закона о пореском поступку и пореској администрацији ("Службени гласник РС", бр. 20/09, 72/09 - др. закон, 53/10, 101/11, 2/12 - исправка, 93/12, 47/13, 108/13, 68/14 и 145/14).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У оквиру области ефикасне јавне услуге за МСПП, успостављен је једношалтерски систем регистрације привредних субјеката, који омогућава да привредни субјекти који се региструју у Агенцији за привредне регистре са регистрацијом оснивања истовремено добијају регистарски/матични број који додељује Републички завод за статистику и порески идентификациони број (у даљем тексту: ПИБ) који додељује Пореска управа. Од 2013. године и успостављања Централног регистра обавезног социјалног осигурања, Агенција за привредне регистре за предузетнике, врши и пријаву на осигурање код надлежних фондова </w:t>
      </w:r>
      <w:r w:rsidRPr="00AF22EC">
        <w:rPr>
          <w:rFonts w:ascii="Arial" w:eastAsia="Times New Roman" w:hAnsi="Arial" w:cs="Arial"/>
          <w:color w:val="000000"/>
          <w:sz w:val="26"/>
          <w:szCs w:val="26"/>
          <w:lang w:eastAsia="sr-Latn-RS"/>
        </w:rPr>
        <w:lastRenderedPageBreak/>
        <w:t>здравственог и пензијско-инвалидског осигурања, као и осигурања за случај незапослености.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Успостављена је и Централна евиденција хипотека у оквиру Катастра непокретности са приступом подацима и могућношћу подношења захтева преко интернета.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области развијања регионалне инфраструктуре за подршку МСПП, предвиђене су активности за успостављање покривености целе територије Републике Србије мрежом АРРА и подизања капацитета запослених у АРРА. НАРР је спроводила активности акредитације регионалних развојних агенција, тренинге тренера за модуле обука из стандардизованог сета услуга, а у канцеларијама за локални економски развој спроводиле су се обуке запослених по методологији НАРР. </w:t>
      </w:r>
    </w:p>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3" w:name="str_3"/>
      <w:bookmarkEnd w:id="3"/>
      <w:r w:rsidRPr="00AF22EC">
        <w:rPr>
          <w:rFonts w:ascii="Arial" w:eastAsia="Times New Roman" w:hAnsi="Arial" w:cs="Arial"/>
          <w:b/>
          <w:bCs/>
          <w:i/>
          <w:iCs/>
          <w:color w:val="000000"/>
          <w:sz w:val="29"/>
          <w:szCs w:val="29"/>
          <w:lang w:eastAsia="sr-Latn-RS"/>
        </w:rPr>
        <w:t>1. Преглед развијености сектора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Сектор МСПП послује у условима када целокупну привреду Републике Србије и даље одликује успорен опоравак економске активности након вишегодишње рецесије изазване светском економском кризом. Иако је у 2013. години успостављен тренд нижих стопа инфлације, макроекономски амбијент и даље карактерише висок ниво спољног и јавног дуга, условљен високим буџетским дефицитом, као и недовољан ниво инвестиција, поготово страних директних инвестиција, осцилације девизног курса и висок ниво незапослености. Изазови даљем развоју приватног предузетничког сектора и даље постоје у домену правног оквира и сигурности пословања, а неповољни утицај на домаћу привреду имају пад домаће тражње и спор опоравак економија на главним српским извозним тржиштима. Предузећа у Републици Србији значајно оптерећује и проблем ликвидности, који уз висок ниво ненаплативих кредита привреде, додатно подстиче високе каматне стопе. Посебну препреку развоју сектора МСПП представља још увек висок ниво сиве економије.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Иако је у годинама пре економске кризе сектор МСПП имао позитиван тренд раста основних показатеља пословања, динамика повећања нивоа развијености и конкурентности прекинута је након 2008. године, а позитивни резултати, остварени у неколико преткризних година су, у великој мери, анулирани.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2013. години забележене су позитивне тенденције опоравка привредне активности, пре свега услед раста извоза аутомобилске индустрије, али је овај тренд био ограничен на пар привредних сегмената са мањим бројем, углавном великих, привредних субјеката, док је сектор МСПП остварио лошије резултате него у 2012. години.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Међутим, и у овако отежаним економским условима, сектор МСПП задржао је и у 2013. години релативно високо учешће у образовању </w:t>
      </w:r>
      <w:r w:rsidRPr="00AF22EC">
        <w:rPr>
          <w:rFonts w:ascii="Arial" w:eastAsia="Times New Roman" w:hAnsi="Arial" w:cs="Arial"/>
          <w:color w:val="000000"/>
          <w:sz w:val="26"/>
          <w:szCs w:val="26"/>
          <w:lang w:eastAsia="sr-Latn-RS"/>
        </w:rPr>
        <w:lastRenderedPageBreak/>
        <w:t>основних показатеља пословања нефинансијског сектора привреде Републике Србије: генерише око 2/3 запослености и промета, 54,1% бруто друштвене вредности (у даљем тексту: БДВ), и учествује са 43,2% у извозу нефинансијског сектора. Процењује се да је у 2013. години сектор МСПП, који чини 99,8 % укупног броја привредних субјеката, учествовао са око 34% у бруто друштвеном производу (у даљем тексту: БДП) Републике Србије.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Посматрано по величини у структури сектора МСПП најбројнија су микро предузећа и предузетници, који учествују са 96,3% у укупном броју МСПП. Релативно низак просечан број од 2,4 запослених по привредном субјекту указује на једну од кључних слабости сектора МСПП у односу на државе чланице ЕУ, где тај просек износи 4,2. Просечне вредности других показатеља пословања исказаних по запосленом такође су значајно нижи у односу на просек ЕУ, што све указује на превелику уситњеност и слабу конкурентност МСПП у Републици Србији.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Секторска концентрација МСПП не мења се значајно током година: доминира концентрација у неразмењивим секторима, при чему свако треће предузеће или предузетник из МСПП послује у области трговине на велико и мало, за којима следе услуге и прерађивачка индустрија. У структури МСПП у прерађивачкој индустрији доминирају привредни субјекти који послују у ниско технолошким областима, са производима мале додате вредности и диференцираности, што за последицу има њихову слабију позицију на тржишту и ниске ценовне и добитне маргине.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МСПП још увек нису довољно окренута извозу. У укупном броју МСПП извозници чине свега 4,3%, а учешће извоза у промету износи скромних 9,1%. И поред динамичнијег раста извоза у последњих неколико година, извоз по запосленом је мањи за 1/3 у односу на просек нефинансијског сектора.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Велика неравномерност у постигнутом степену економског развоја у Републици Србији одражава се и на расподелу бројности и резултата МСПП. Степен развијености МСПП по областима у Републици Србији мерен показатељем БДВ по запосленом указује да однос области са највећим (град Београд) и најмањом вредношћу показатеља (Пчињски управни округ) износи 2,3:1. </w:t>
      </w:r>
    </w:p>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4" w:name="str_4"/>
      <w:bookmarkEnd w:id="4"/>
      <w:r w:rsidRPr="00AF22EC">
        <w:rPr>
          <w:rFonts w:ascii="Arial" w:eastAsia="Times New Roman" w:hAnsi="Arial" w:cs="Arial"/>
          <w:b/>
          <w:bCs/>
          <w:i/>
          <w:iCs/>
          <w:color w:val="000000"/>
          <w:sz w:val="29"/>
          <w:szCs w:val="29"/>
          <w:lang w:eastAsia="sr-Latn-RS"/>
        </w:rPr>
        <w:t>2. Аналитичка основа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У припреми Стратегије коришћене су информације и препоруке садржане у извештајима домаћих и међународних институција, као и информације сакупљене кроз дијалог са привредницима. Најважнији коришћени извештаји су: Извештај Светске банке о пословању у Републици Србији (Доинг Бусинесс 2015: Ундерстандинг Регулатионс фор Смалл анд </w:t>
      </w:r>
      <w:r w:rsidRPr="00AF22EC">
        <w:rPr>
          <w:rFonts w:ascii="Arial" w:eastAsia="Times New Roman" w:hAnsi="Arial" w:cs="Arial"/>
          <w:color w:val="000000"/>
          <w:sz w:val="26"/>
          <w:szCs w:val="26"/>
          <w:lang w:eastAsia="sr-Latn-RS"/>
        </w:rPr>
        <w:lastRenderedPageBreak/>
        <w:t>Медиум Сизе Ентерприсес), Извештај о глобалној конкурентности Светског економског форума (Тхе Глобал Цомпетитивенесс Репорт 2014 - 2015), Бела књига Савета страних инвеститора, Сива књига Националне алијансе за локални економски развој (у даљем тексту: НАЛЕД), студија Финансирање раста малих и средњих предузећа - Кључна питања и препоруке за Србију Пројекта за боље услове пословања (УСАИД БЕП), Пословна анкета: Србија 2013 Пројекта за боље услове пословања (УСАИД БЕП), Извештај ОЕЦД о финансирању малих и средњих предузећа и предузетника за 2013. годину и годишњи национални извештаји о малим и средњим предузећима и предузетништву, као и истраживања о стању, потребама и проблемима МСПП, које спроводи НАРР. Посебна пажња посвећена је укључивању препорука садржаних у годишњим извештајима Европске комисије о напретку Републике Србије и Индексу политике МСПП на Западном Балкану, који објављује ОЕЦД. Такође су коришћене препоруке привредника које су идентификоване у току дијалога са њима у оквиру акције "Имате реч - будите део решења". </w:t>
      </w:r>
    </w:p>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5" w:name="str_5"/>
      <w:bookmarkEnd w:id="5"/>
      <w:r w:rsidRPr="00AF22EC">
        <w:rPr>
          <w:rFonts w:ascii="Arial" w:eastAsia="Times New Roman" w:hAnsi="Arial" w:cs="Arial"/>
          <w:b/>
          <w:bCs/>
          <w:i/>
          <w:iCs/>
          <w:color w:val="000000"/>
          <w:sz w:val="29"/>
          <w:szCs w:val="29"/>
          <w:lang w:eastAsia="sr-Latn-RS"/>
        </w:rPr>
        <w:t>3. Законодавни и институционални оквир за развој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претходном периоду спроведене су или започете значајне законодавне и административне реформе у Републици Србији, које треба да обезбеде повољније услове за функционисање тржишне економије, укључујући и развој предузетништва.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Међутим, то није довело до задовољавајућих резултата и потребно је у наредном периоду интензивирати рад на унапређењу услова пословања.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Истовремено, поред измене регулаторног оквира, у циљу обезбеђења правне сигурности у пословању МСПП неопходно је значајно унапредити и рад судова.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Институционална подршка сектору МСПП, која се изграђује од 2002. године, стално се унапређује, уз јачање капацитета институција на националном нивоу и мреже АРРА на регионалном нивоу. Јачање институција за подршку МСПП биће настављено и у наредном периоду. Најважнија институција која се бави спровођењем политике развоја МСПП кроз директну подршку предузећима је НАРР са мрежом АРРА. Подршку финансирању МСПП сектора пружају Фонд за развој и Агенција за осигурање и финансирање извоза Републике Србије (у даљем тексту: АОФИ). Важне институције у систему пружања директне подршке МСПП су и СИЕПА, у области интернационализације, Министарство просвете, науке и технолошког развоја и Фонд за иновациону делатност, у области подршке иновативним предузећима и Национална служба за запошљавање у области подршке за самозапошљавање и ново запошљавање.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Значајну подршку и све већу активност у унапређењу сектора МСПП традиционално пружа ПКС. </w:t>
      </w:r>
    </w:p>
    <w:p w:rsidR="00AF22EC" w:rsidRPr="00AF22EC" w:rsidRDefault="00AF22EC" w:rsidP="00AF22EC">
      <w:pPr>
        <w:spacing w:after="0" w:line="240" w:lineRule="auto"/>
        <w:jc w:val="center"/>
        <w:rPr>
          <w:rFonts w:ascii="Arial" w:eastAsia="Times New Roman" w:hAnsi="Arial" w:cs="Arial"/>
          <w:color w:val="000000"/>
          <w:sz w:val="36"/>
          <w:szCs w:val="36"/>
          <w:lang w:eastAsia="sr-Latn-RS"/>
        </w:rPr>
      </w:pPr>
      <w:bookmarkStart w:id="6" w:name="str_6"/>
      <w:bookmarkEnd w:id="6"/>
      <w:r w:rsidRPr="00AF22EC">
        <w:rPr>
          <w:rFonts w:ascii="Arial" w:eastAsia="Times New Roman" w:hAnsi="Arial" w:cs="Arial"/>
          <w:color w:val="000000"/>
          <w:sz w:val="36"/>
          <w:szCs w:val="36"/>
          <w:lang w:eastAsia="sr-Latn-RS"/>
        </w:rPr>
        <w:t>III СТРАТЕШКА ВИЗИЈА И ЦИЉЕВИ </w:t>
      </w:r>
    </w:p>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7" w:name="str_7"/>
      <w:bookmarkEnd w:id="7"/>
      <w:r w:rsidRPr="00AF22EC">
        <w:rPr>
          <w:rFonts w:ascii="Arial" w:eastAsia="Times New Roman" w:hAnsi="Arial" w:cs="Arial"/>
          <w:b/>
          <w:bCs/>
          <w:i/>
          <w:iCs/>
          <w:color w:val="000000"/>
          <w:sz w:val="29"/>
          <w:szCs w:val="29"/>
          <w:lang w:eastAsia="sr-Latn-RS"/>
        </w:rPr>
        <w:t>1. Стратешка визија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Стратешка визија јесте развој предузетништва и конкурентности, заснован на приватној предузетничкој иницијативи, знању и иновативности, у циљу оснаживања домаћих микро, малих, средњих привредних друштава и предузетника у довољној мери да спремно одговоре на притисак конкуренције на заједничком тржишту ЕУ и допринесу побољшању животног стандарда у Републици Србији. </w:t>
      </w:r>
    </w:p>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8" w:name="str_8"/>
      <w:bookmarkEnd w:id="8"/>
      <w:r w:rsidRPr="00AF22EC">
        <w:rPr>
          <w:rFonts w:ascii="Arial" w:eastAsia="Times New Roman" w:hAnsi="Arial" w:cs="Arial"/>
          <w:b/>
          <w:bCs/>
          <w:i/>
          <w:iCs/>
          <w:color w:val="000000"/>
          <w:sz w:val="29"/>
          <w:szCs w:val="29"/>
          <w:lang w:eastAsia="sr-Latn-RS"/>
        </w:rPr>
        <w:t>2. Стратешки циљеви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Табела 2 - Циљеви Стратегије </w:t>
      </w:r>
    </w:p>
    <w:tbl>
      <w:tblPr>
        <w:tblW w:w="10057"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157"/>
        <w:gridCol w:w="7900"/>
      </w:tblGrid>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Стратешки циљеви </w:t>
            </w:r>
          </w:p>
        </w:tc>
        <w:tc>
          <w:tcPr>
            <w:tcW w:w="790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Специфични циљеви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1. Унапређење пословног окружења </w:t>
            </w:r>
          </w:p>
        </w:tc>
        <w:tc>
          <w:tcPr>
            <w:tcW w:w="790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1.1. Успостављање подстицајног регулаторног оквира у складу са потребама и могућностима МСПП </w:t>
            </w:r>
            <w:r w:rsidRPr="00AF22EC">
              <w:rPr>
                <w:rFonts w:ascii="Arial" w:eastAsia="Times New Roman" w:hAnsi="Arial" w:cs="Arial"/>
                <w:sz w:val="26"/>
                <w:szCs w:val="26"/>
                <w:lang w:eastAsia="sr-Latn-RS"/>
              </w:rPr>
              <w:br/>
              <w:t>1.2. Унапређење ефикасности спровођења административних поступака </w:t>
            </w:r>
            <w:r w:rsidRPr="00AF22EC">
              <w:rPr>
                <w:rFonts w:ascii="Arial" w:eastAsia="Times New Roman" w:hAnsi="Arial" w:cs="Arial"/>
                <w:sz w:val="26"/>
                <w:szCs w:val="26"/>
                <w:lang w:eastAsia="sr-Latn-RS"/>
              </w:rPr>
              <w:br/>
              <w:t>1.3. Повећање транспарентности процеса доношења прописа и јавних политика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 Унапређење приступа изворима финансирања </w:t>
            </w:r>
          </w:p>
        </w:tc>
        <w:tc>
          <w:tcPr>
            <w:tcW w:w="790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2.1. Унапређење квалитета понуде банкарског сектора за МСПП</w:t>
            </w:r>
            <w:r w:rsidRPr="00AF22EC">
              <w:rPr>
                <w:rFonts w:ascii="Arial" w:eastAsia="Times New Roman" w:hAnsi="Arial" w:cs="Arial"/>
                <w:sz w:val="26"/>
                <w:szCs w:val="26"/>
                <w:lang w:eastAsia="sr-Latn-RS"/>
              </w:rPr>
              <w:br/>
              <w:t>2.2. Развој нових финансијских инструмената</w:t>
            </w:r>
            <w:r w:rsidRPr="00AF22EC">
              <w:rPr>
                <w:rFonts w:ascii="Arial" w:eastAsia="Times New Roman" w:hAnsi="Arial" w:cs="Arial"/>
                <w:sz w:val="26"/>
                <w:szCs w:val="26"/>
                <w:lang w:eastAsia="sr-Latn-RS"/>
              </w:rPr>
              <w:br/>
              <w:t>2.3. Унапређење способности МСПП за приступ различитим изворима финансирања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3. Континуирани развој људских ресурса </w:t>
            </w:r>
          </w:p>
        </w:tc>
        <w:tc>
          <w:tcPr>
            <w:tcW w:w="790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3.1. Унапређење квалитета радне снаге</w:t>
            </w:r>
            <w:r w:rsidRPr="00AF22EC">
              <w:rPr>
                <w:rFonts w:ascii="Arial" w:eastAsia="Times New Roman" w:hAnsi="Arial" w:cs="Arial"/>
                <w:sz w:val="26"/>
                <w:szCs w:val="26"/>
                <w:lang w:eastAsia="sr-Latn-RS"/>
              </w:rPr>
              <w:br/>
              <w:t>3.2. Подршка развоју образовања за предузетништво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4. Јачање одрживости и конкурентности МСПП </w:t>
            </w:r>
          </w:p>
        </w:tc>
        <w:tc>
          <w:tcPr>
            <w:tcW w:w="790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4.1. Унапређење ефикасности институционалне подршке пословању и развоју МСПП </w:t>
            </w:r>
            <w:r w:rsidRPr="00AF22EC">
              <w:rPr>
                <w:rFonts w:ascii="Arial" w:eastAsia="Times New Roman" w:hAnsi="Arial" w:cs="Arial"/>
                <w:sz w:val="26"/>
                <w:szCs w:val="26"/>
                <w:lang w:eastAsia="sr-Latn-RS"/>
              </w:rPr>
              <w:br/>
              <w:t>4.2. Оптимизација и унапређење степена искоришћености постојеће и изградња нове пословне инфраструктуре</w:t>
            </w:r>
            <w:r w:rsidRPr="00AF22EC">
              <w:rPr>
                <w:rFonts w:ascii="Arial" w:eastAsia="Times New Roman" w:hAnsi="Arial" w:cs="Arial"/>
                <w:sz w:val="26"/>
                <w:szCs w:val="26"/>
                <w:lang w:eastAsia="sr-Latn-RS"/>
              </w:rPr>
              <w:br/>
              <w:t>4.3. Јачање иновативности у МСПП</w:t>
            </w:r>
            <w:r w:rsidRPr="00AF22EC">
              <w:rPr>
                <w:rFonts w:ascii="Arial" w:eastAsia="Times New Roman" w:hAnsi="Arial" w:cs="Arial"/>
                <w:sz w:val="26"/>
                <w:szCs w:val="26"/>
                <w:lang w:eastAsia="sr-Latn-RS"/>
              </w:rPr>
              <w:br/>
              <w:t>4.4. Стимулисање пословног удруживања и креирања ланаца вредности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5. Унапређење приступа новим тржиштима </w:t>
            </w:r>
          </w:p>
        </w:tc>
        <w:tc>
          <w:tcPr>
            <w:tcW w:w="790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5.1. Обезбеђивање континуиране подршке МСПП за излазак на нова тржишта</w:t>
            </w:r>
            <w:r w:rsidRPr="00AF22EC">
              <w:rPr>
                <w:rFonts w:ascii="Arial" w:eastAsia="Times New Roman" w:hAnsi="Arial" w:cs="Arial"/>
                <w:sz w:val="26"/>
                <w:szCs w:val="26"/>
                <w:lang w:eastAsia="sr-Latn-RS"/>
              </w:rPr>
              <w:br/>
              <w:t>5.2. Смањење и превазилажење техничких препрека трговини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6. Развој и промоција предузетничког духа и подстицање предузетништва жена, младих и социјалног предузетништва </w:t>
            </w:r>
          </w:p>
        </w:tc>
        <w:tc>
          <w:tcPr>
            <w:tcW w:w="790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6.1. Унапређење статистичког праћења и истраживања предузетништва жена, младих и социјалног предузетништва</w:t>
            </w:r>
            <w:r w:rsidRPr="00AF22EC">
              <w:rPr>
                <w:rFonts w:ascii="Arial" w:eastAsia="Times New Roman" w:hAnsi="Arial" w:cs="Arial"/>
                <w:sz w:val="26"/>
                <w:szCs w:val="26"/>
                <w:lang w:eastAsia="sr-Latn-RS"/>
              </w:rPr>
              <w:br/>
              <w:t>6.2. Политика и инструменти за подршку женском предузетништву, предузетништву младих и социјалном предузетништву </w:t>
            </w:r>
          </w:p>
        </w:tc>
      </w:tr>
    </w:tbl>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t>  </w:t>
      </w:r>
    </w:p>
    <w:p w:rsidR="00AF22EC" w:rsidRPr="00AF22EC" w:rsidRDefault="00AF22EC" w:rsidP="00AF22EC">
      <w:pPr>
        <w:spacing w:after="0" w:line="240" w:lineRule="auto"/>
        <w:jc w:val="center"/>
        <w:rPr>
          <w:rFonts w:ascii="Arial" w:eastAsia="Times New Roman" w:hAnsi="Arial" w:cs="Arial"/>
          <w:color w:val="000000"/>
          <w:sz w:val="36"/>
          <w:szCs w:val="36"/>
          <w:lang w:eastAsia="sr-Latn-RS"/>
        </w:rPr>
      </w:pPr>
      <w:bookmarkStart w:id="9" w:name="str_9"/>
      <w:bookmarkEnd w:id="9"/>
      <w:r w:rsidRPr="00AF22EC">
        <w:rPr>
          <w:rFonts w:ascii="Arial" w:eastAsia="Times New Roman" w:hAnsi="Arial" w:cs="Arial"/>
          <w:color w:val="000000"/>
          <w:sz w:val="36"/>
          <w:szCs w:val="36"/>
          <w:lang w:eastAsia="sr-Latn-RS"/>
        </w:rPr>
        <w:t>IV СПРОВОЂЕЊЕ И ПРАЋЕЊЕ СПРОВОЂЕЊА СТРАТЕГИЈЕ </w:t>
      </w:r>
    </w:p>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10" w:name="str_10"/>
      <w:bookmarkEnd w:id="10"/>
      <w:r w:rsidRPr="00AF22EC">
        <w:rPr>
          <w:rFonts w:ascii="Arial" w:eastAsia="Times New Roman" w:hAnsi="Arial" w:cs="Arial"/>
          <w:b/>
          <w:bCs/>
          <w:i/>
          <w:iCs/>
          <w:color w:val="000000"/>
          <w:sz w:val="29"/>
          <w:szCs w:val="29"/>
          <w:lang w:eastAsia="sr-Latn-RS"/>
        </w:rPr>
        <w:t>1. Спровођење стратегије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Спровођење Стратегије засниваће се на годишњим акционим плановима који ће се припремати у сарадњи са свим ресорно надлежним државним институцијама и кроз дијалог са приватним сектором.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Спровођење политике развоја МСПП одликује сложеност и вишедимензионалност, која условљава поштовање принципа поделе надлежности између ресорно одговорних институција и њихову координацију. Други важан принцип односи се на неопходност сталног дијалога, укључивања и сарадње са представницима сектора МСПП, стручне и шире јавности. Ресорна министарства и органи државне управе одговорни су за спровођење мера предвиђених акционим планом, које се налазе у њиховој надлежности.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Из тог разлога, непосредно након усвајања ове стратегије, планира се образовање Савета за мала и средња предузећа, предузетништво и конкурентност (у даљем тексту: Савет), као повременог радног тела Владе, чији су чланови представници ресорних министарстава, као и представници привреде и других заинтересованих страна. Основни задатак Савета ће бити да надзире и координира спровођење Стратегије. Ради обављања стручних послова, биће предвиђено да се у оквиру Савета могу образовати посебне стручне групе у чијем раду ће учествовати представници министарстава, других државних органа, организација и институција, као и представници пословних удружења, финансијских институција, међународних организација, донатора, академске заједнице, стручних и невладиних организација и стручњаци. Административно-техничке послове за потребе Савета обављаће министарство надлежно за послове привреде у сарадњи са Републичким секретаријатом за јавне политике (у даљем тексту: РСЈП).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Министарство надлежно за послове привреде задужено је за техничку координацију спровођења Стратегије, у сарадњи са Саветом.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Министарство надлежно за послове привреде ће на кварталном нивоу извештавати Савет о напретку спровођења Стратегије, односно реализацији Акционог плана. Такође, предвиђено је да на годишњем нивоу, Савет подноси извештај о реализацији Стратегије Влади. </w:t>
      </w:r>
    </w:p>
    <w:p w:rsidR="00AF22EC" w:rsidRPr="00AF22EC" w:rsidRDefault="00AF22EC" w:rsidP="00AF22EC">
      <w:pPr>
        <w:spacing w:before="100" w:beforeAutospacing="1" w:after="100" w:afterAutospacing="1" w:line="240" w:lineRule="auto"/>
        <w:jc w:val="center"/>
        <w:rPr>
          <w:rFonts w:ascii="Arial" w:eastAsia="Times New Roman" w:hAnsi="Arial" w:cs="Arial"/>
          <w:color w:val="000000"/>
          <w:sz w:val="26"/>
          <w:szCs w:val="26"/>
          <w:lang w:eastAsia="sr-Latn-RS"/>
        </w:rPr>
      </w:pPr>
      <w:r w:rsidRPr="00AF22EC">
        <w:rPr>
          <w:rFonts w:ascii="Arial" w:eastAsia="Times New Roman" w:hAnsi="Arial" w:cs="Arial"/>
          <w:noProof/>
          <w:color w:val="000000"/>
          <w:sz w:val="26"/>
          <w:szCs w:val="26"/>
          <w:lang w:eastAsia="sr-Latn-RS"/>
        </w:rPr>
        <mc:AlternateContent>
          <mc:Choice Requires="wps">
            <w:drawing>
              <wp:inline distT="0" distB="0" distL="0" distR="0" wp14:anchorId="292718BF" wp14:editId="31D441E9">
                <wp:extent cx="5486400" cy="2857500"/>
                <wp:effectExtent l="0" t="0" r="0" b="0"/>
                <wp:docPr id="1" name="AutoShape 1" descr="about:blankt04_0216_s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722A4" id="AutoShape 1" o:spid="_x0000_s1026" alt="about:blankt04_0216_s001.gif" style="width:6in;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" filled="f" stroked="f">
                <o:lock v:ext="edit" aspectratio="t"/>
                <w10:anchorlock/>
              </v:rect>
            </w:pict>
          </mc:Fallback>
        </mc:AlternateContent>
      </w:r>
    </w:p>
    <w:p w:rsidR="00AF22EC" w:rsidRPr="00AF22EC" w:rsidRDefault="00AF22EC" w:rsidP="00AF22EC">
      <w:pPr>
        <w:spacing w:before="100" w:beforeAutospacing="1" w:after="100" w:afterAutospacing="1" w:line="240" w:lineRule="auto"/>
        <w:jc w:val="center"/>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Графикон 1 - Координација спровођења стратегије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Табела 3 - Циклус спровођења Стратегије </w:t>
      </w:r>
    </w:p>
    <w:tbl>
      <w:tblPr>
        <w:tblW w:w="10057"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740"/>
        <w:gridCol w:w="4313"/>
        <w:gridCol w:w="4004"/>
      </w:tblGrid>
      <w:tr w:rsidR="00AF22EC" w:rsidRPr="00AF22EC" w:rsidTr="00AF22EC">
        <w:trPr>
          <w:tblCellSpacing w:w="0" w:type="dxa"/>
        </w:trPr>
        <w:tc>
          <w:tcPr>
            <w:tcW w:w="10057"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Циклус спровођења Стратегије </w:t>
            </w:r>
          </w:p>
        </w:tc>
      </w:tr>
      <w:tr w:rsidR="00AF22EC" w:rsidRPr="00AF22EC" w:rsidTr="00AF22EC">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Период </w:t>
            </w:r>
          </w:p>
        </w:tc>
        <w:tc>
          <w:tcPr>
            <w:tcW w:w="432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пре почетка периода </w:t>
            </w:r>
          </w:p>
        </w:tc>
        <w:tc>
          <w:tcPr>
            <w:tcW w:w="40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током </w:t>
            </w:r>
            <w:r w:rsidRPr="00AF22EC">
              <w:rPr>
                <w:rFonts w:ascii="Arial" w:eastAsia="Times New Roman" w:hAnsi="Arial" w:cs="Arial"/>
                <w:sz w:val="26"/>
                <w:szCs w:val="26"/>
                <w:lang w:eastAsia="sr-Latn-RS"/>
              </w:rPr>
              <w:br/>
              <w:t>и на крају периода </w:t>
            </w:r>
          </w:p>
        </w:tc>
      </w:tr>
      <w:tr w:rsidR="00AF22EC" w:rsidRPr="00AF22EC" w:rsidTr="00AF22EC">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година </w:t>
            </w:r>
          </w:p>
        </w:tc>
        <w:tc>
          <w:tcPr>
            <w:tcW w:w="432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Израда Акционог плана за 2015, са пројекцијом за 2016. </w:t>
            </w:r>
          </w:p>
        </w:tc>
        <w:tc>
          <w:tcPr>
            <w:tcW w:w="40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Квартални извештаји о спровођењу </w:t>
            </w:r>
            <w:r w:rsidRPr="00AF22EC">
              <w:rPr>
                <w:rFonts w:ascii="Arial" w:eastAsia="Times New Roman" w:hAnsi="Arial" w:cs="Arial"/>
                <w:sz w:val="26"/>
                <w:szCs w:val="26"/>
                <w:lang w:eastAsia="sr-Latn-RS"/>
              </w:rPr>
              <w:br/>
              <w:t>- Годишњи извештај о спровођењу </w:t>
            </w:r>
            <w:r w:rsidRPr="00AF22EC">
              <w:rPr>
                <w:rFonts w:ascii="Arial" w:eastAsia="Times New Roman" w:hAnsi="Arial" w:cs="Arial"/>
                <w:sz w:val="26"/>
                <w:szCs w:val="26"/>
                <w:lang w:eastAsia="sr-Latn-RS"/>
              </w:rPr>
              <w:br/>
              <w:t>- Ажурирање индикатора </w:t>
            </w:r>
          </w:p>
        </w:tc>
      </w:tr>
      <w:tr w:rsidR="00AF22EC" w:rsidRPr="00AF22EC" w:rsidTr="00AF22EC">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година </w:t>
            </w:r>
          </w:p>
        </w:tc>
        <w:tc>
          <w:tcPr>
            <w:tcW w:w="432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Израда Акционог плана за 2016, са пројекцијом за 2017. </w:t>
            </w:r>
          </w:p>
        </w:tc>
        <w:tc>
          <w:tcPr>
            <w:tcW w:w="40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Квартални извештаји о спровођењу </w:t>
            </w:r>
            <w:r w:rsidRPr="00AF22EC">
              <w:rPr>
                <w:rFonts w:ascii="Arial" w:eastAsia="Times New Roman" w:hAnsi="Arial" w:cs="Arial"/>
                <w:sz w:val="26"/>
                <w:szCs w:val="26"/>
                <w:lang w:eastAsia="sr-Latn-RS"/>
              </w:rPr>
              <w:br/>
              <w:t>- Годишњи извештај о спровођењу </w:t>
            </w:r>
            <w:r w:rsidRPr="00AF22EC">
              <w:rPr>
                <w:rFonts w:ascii="Arial" w:eastAsia="Times New Roman" w:hAnsi="Arial" w:cs="Arial"/>
                <w:sz w:val="26"/>
                <w:szCs w:val="26"/>
                <w:lang w:eastAsia="sr-Latn-RS"/>
              </w:rPr>
              <w:br/>
              <w:t>- Ажурирање индикатора</w:t>
            </w:r>
            <w:r w:rsidRPr="00AF22EC">
              <w:rPr>
                <w:rFonts w:ascii="Arial" w:eastAsia="Times New Roman" w:hAnsi="Arial" w:cs="Arial"/>
                <w:sz w:val="26"/>
                <w:szCs w:val="26"/>
                <w:lang w:eastAsia="sr-Latn-RS"/>
              </w:rPr>
              <w:br/>
              <w:t>- Анализа потребе за ревизијом - (мид-терм external евалуатион) </w:t>
            </w:r>
          </w:p>
        </w:tc>
      </w:tr>
      <w:tr w:rsidR="00AF22EC" w:rsidRPr="00AF22EC" w:rsidTr="00AF22EC">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2017. година </w:t>
            </w:r>
          </w:p>
        </w:tc>
        <w:tc>
          <w:tcPr>
            <w:tcW w:w="432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Ревизија Стратегије (по потреби)</w:t>
            </w:r>
            <w:r w:rsidRPr="00AF22EC">
              <w:rPr>
                <w:rFonts w:ascii="Arial" w:eastAsia="Times New Roman" w:hAnsi="Arial" w:cs="Arial"/>
                <w:sz w:val="26"/>
                <w:szCs w:val="26"/>
                <w:lang w:eastAsia="sr-Latn-RS"/>
              </w:rPr>
              <w:br/>
              <w:t>- Израда Акционог плана за 2017, са пројекцијом за 2018. </w:t>
            </w:r>
          </w:p>
        </w:tc>
        <w:tc>
          <w:tcPr>
            <w:tcW w:w="40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Усвајање измена и допуна ревидиране Стратегије (по потреби)</w:t>
            </w:r>
            <w:r w:rsidRPr="00AF22EC">
              <w:rPr>
                <w:rFonts w:ascii="Arial" w:eastAsia="Times New Roman" w:hAnsi="Arial" w:cs="Arial"/>
                <w:sz w:val="26"/>
                <w:szCs w:val="26"/>
                <w:lang w:eastAsia="sr-Latn-RS"/>
              </w:rPr>
              <w:br/>
              <w:t>- Квартални извештаји о спровођењу </w:t>
            </w:r>
            <w:r w:rsidRPr="00AF22EC">
              <w:rPr>
                <w:rFonts w:ascii="Arial" w:eastAsia="Times New Roman" w:hAnsi="Arial" w:cs="Arial"/>
                <w:sz w:val="26"/>
                <w:szCs w:val="26"/>
                <w:lang w:eastAsia="sr-Latn-RS"/>
              </w:rPr>
              <w:br/>
              <w:t>- Годишњи извештај о спровођењу </w:t>
            </w:r>
            <w:r w:rsidRPr="00AF22EC">
              <w:rPr>
                <w:rFonts w:ascii="Arial" w:eastAsia="Times New Roman" w:hAnsi="Arial" w:cs="Arial"/>
                <w:sz w:val="26"/>
                <w:szCs w:val="26"/>
                <w:lang w:eastAsia="sr-Latn-RS"/>
              </w:rPr>
              <w:br/>
              <w:t>- Ажурирање индикатора </w:t>
            </w:r>
          </w:p>
        </w:tc>
      </w:tr>
      <w:tr w:rsidR="00AF22EC" w:rsidRPr="00AF22EC" w:rsidTr="00AF22EC">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2018. година </w:t>
            </w:r>
          </w:p>
        </w:tc>
        <w:tc>
          <w:tcPr>
            <w:tcW w:w="432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Израда Акционог плана за 2018, са пројекцијом за 2019. </w:t>
            </w:r>
          </w:p>
        </w:tc>
        <w:tc>
          <w:tcPr>
            <w:tcW w:w="40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Квартални извештаји о спровођењу </w:t>
            </w:r>
            <w:r w:rsidRPr="00AF22EC">
              <w:rPr>
                <w:rFonts w:ascii="Arial" w:eastAsia="Times New Roman" w:hAnsi="Arial" w:cs="Arial"/>
                <w:sz w:val="26"/>
                <w:szCs w:val="26"/>
                <w:lang w:eastAsia="sr-Latn-RS"/>
              </w:rPr>
              <w:br/>
              <w:t>- Годишњи извештај о спровођењу </w:t>
            </w:r>
            <w:r w:rsidRPr="00AF22EC">
              <w:rPr>
                <w:rFonts w:ascii="Arial" w:eastAsia="Times New Roman" w:hAnsi="Arial" w:cs="Arial"/>
                <w:sz w:val="26"/>
                <w:szCs w:val="26"/>
                <w:lang w:eastAsia="sr-Latn-RS"/>
              </w:rPr>
              <w:br/>
              <w:t>- Ажурирање индикатора</w:t>
            </w:r>
            <w:r w:rsidRPr="00AF22EC">
              <w:rPr>
                <w:rFonts w:ascii="Arial" w:eastAsia="Times New Roman" w:hAnsi="Arial" w:cs="Arial"/>
                <w:sz w:val="26"/>
                <w:szCs w:val="26"/>
                <w:lang w:eastAsia="sr-Latn-RS"/>
              </w:rPr>
              <w:br/>
              <w:t>- Анализа потребе за ревизијом - (мид-терм external евалуатион) </w:t>
            </w:r>
          </w:p>
        </w:tc>
      </w:tr>
      <w:tr w:rsidR="00AF22EC" w:rsidRPr="00AF22EC" w:rsidTr="00AF22EC">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2019. година </w:t>
            </w:r>
          </w:p>
        </w:tc>
        <w:tc>
          <w:tcPr>
            <w:tcW w:w="432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Ревизија Стратегије (по потреби)</w:t>
            </w:r>
            <w:r w:rsidRPr="00AF22EC">
              <w:rPr>
                <w:rFonts w:ascii="Arial" w:eastAsia="Times New Roman" w:hAnsi="Arial" w:cs="Arial"/>
                <w:sz w:val="26"/>
                <w:szCs w:val="26"/>
                <w:lang w:eastAsia="sr-Latn-RS"/>
              </w:rPr>
              <w:br/>
              <w:t>- Израда Акционог плана за 2019, са пројекцијом за 2020. </w:t>
            </w:r>
          </w:p>
        </w:tc>
        <w:tc>
          <w:tcPr>
            <w:tcW w:w="40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Усвајање измена и допуна ревидиране Стратегије (по потреби)</w:t>
            </w:r>
            <w:r w:rsidRPr="00AF22EC">
              <w:rPr>
                <w:rFonts w:ascii="Arial" w:eastAsia="Times New Roman" w:hAnsi="Arial" w:cs="Arial"/>
                <w:sz w:val="26"/>
                <w:szCs w:val="26"/>
                <w:lang w:eastAsia="sr-Latn-RS"/>
              </w:rPr>
              <w:br/>
              <w:t>- Квартални извештаји о спровођењу </w:t>
            </w:r>
            <w:r w:rsidRPr="00AF22EC">
              <w:rPr>
                <w:rFonts w:ascii="Arial" w:eastAsia="Times New Roman" w:hAnsi="Arial" w:cs="Arial"/>
                <w:sz w:val="26"/>
                <w:szCs w:val="26"/>
                <w:lang w:eastAsia="sr-Latn-RS"/>
              </w:rPr>
              <w:br/>
              <w:t>- Годишњи извештај о спровођењу </w:t>
            </w:r>
            <w:r w:rsidRPr="00AF22EC">
              <w:rPr>
                <w:rFonts w:ascii="Arial" w:eastAsia="Times New Roman" w:hAnsi="Arial" w:cs="Arial"/>
                <w:sz w:val="26"/>
                <w:szCs w:val="26"/>
                <w:lang w:eastAsia="sr-Latn-RS"/>
              </w:rPr>
              <w:br/>
              <w:t>- Ажурирање индикатора </w:t>
            </w:r>
          </w:p>
        </w:tc>
      </w:tr>
      <w:tr w:rsidR="00AF22EC" w:rsidRPr="00AF22EC" w:rsidTr="00AF22EC">
        <w:trPr>
          <w:tblCellSpacing w:w="0" w:type="dxa"/>
        </w:trPr>
        <w:tc>
          <w:tcPr>
            <w:tcW w:w="1710" w:type="dxa"/>
            <w:tcBorders>
              <w:top w:val="outset" w:sz="6" w:space="0" w:color="auto"/>
              <w:left w:val="outset" w:sz="6" w:space="0" w:color="auto"/>
              <w:bottom w:val="outset" w:sz="6" w:space="0" w:color="auto"/>
              <w:right w:val="outset" w:sz="6" w:space="0" w:color="auto"/>
            </w:tcBorders>
            <w:noWrap/>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2020. година </w:t>
            </w:r>
          </w:p>
        </w:tc>
        <w:tc>
          <w:tcPr>
            <w:tcW w:w="432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Израда Акционог плана за 2020. </w:t>
            </w:r>
          </w:p>
        </w:tc>
        <w:tc>
          <w:tcPr>
            <w:tcW w:w="40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Квартални извештаји о спровођењу </w:t>
            </w:r>
            <w:r w:rsidRPr="00AF22EC">
              <w:rPr>
                <w:rFonts w:ascii="Arial" w:eastAsia="Times New Roman" w:hAnsi="Arial" w:cs="Arial"/>
                <w:sz w:val="26"/>
                <w:szCs w:val="26"/>
                <w:lang w:eastAsia="sr-Latn-RS"/>
              </w:rPr>
              <w:br/>
              <w:t>- Годишњи извештај о спровођењу </w:t>
            </w:r>
            <w:r w:rsidRPr="00AF22EC">
              <w:rPr>
                <w:rFonts w:ascii="Arial" w:eastAsia="Times New Roman" w:hAnsi="Arial" w:cs="Arial"/>
                <w:sz w:val="26"/>
                <w:szCs w:val="26"/>
                <w:lang w:eastAsia="sr-Latn-RS"/>
              </w:rPr>
              <w:br/>
              <w:t>- Ажурирање индикатора </w:t>
            </w:r>
            <w:r w:rsidRPr="00AF22EC">
              <w:rPr>
                <w:rFonts w:ascii="Arial" w:eastAsia="Times New Roman" w:hAnsi="Arial" w:cs="Arial"/>
                <w:sz w:val="26"/>
                <w:szCs w:val="26"/>
                <w:lang w:eastAsia="sr-Latn-RS"/>
              </w:rPr>
              <w:br/>
              <w:t>- Вредновање стратегије </w:t>
            </w:r>
            <w:r w:rsidRPr="00AF22EC">
              <w:rPr>
                <w:rFonts w:ascii="Arial" w:eastAsia="Times New Roman" w:hAnsi="Arial" w:cs="Arial"/>
                <w:sz w:val="26"/>
                <w:szCs w:val="26"/>
                <w:lang w:eastAsia="sr-Latn-RS"/>
              </w:rPr>
              <w:br/>
              <w:t>(Финал external евалуатион)</w:t>
            </w:r>
            <w:r w:rsidRPr="00AF22EC">
              <w:rPr>
                <w:rFonts w:ascii="Arial" w:eastAsia="Times New Roman" w:hAnsi="Arial" w:cs="Arial"/>
                <w:sz w:val="26"/>
                <w:szCs w:val="26"/>
                <w:lang w:eastAsia="sr-Latn-RS"/>
              </w:rPr>
              <w:br/>
              <w:t>- Покретање поступка за израду новог стратешког документа </w:t>
            </w:r>
          </w:p>
        </w:tc>
      </w:tr>
    </w:tbl>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2018. години, а по потреби и раније, спровешће се спољна оцена успешности спровођења Стратегије (мид-терм external евалуатион), на основу чијих резултата ће бити предузете потребне корективне мере.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Мере садржане у плановима за спровођење Стратегије финансираће се из буџета Републике Србије, донаторских средстава, пре свега кроз ИПА, из средстава билатералних донатора, као и међународних финансијских институција у складу са буџетским ограничењима. Министарство надлежно за послове привреде, у сарадњи са министарством надлежним за финансије, припрема годишњи преглед финансијских средстава и њихових извора предвиђених за спровођење акционог плана за наредни </w:t>
      </w:r>
      <w:r w:rsidRPr="00AF22EC">
        <w:rPr>
          <w:rFonts w:ascii="Arial" w:eastAsia="Times New Roman" w:hAnsi="Arial" w:cs="Arial"/>
          <w:color w:val="000000"/>
          <w:sz w:val="26"/>
          <w:szCs w:val="26"/>
          <w:lang w:eastAsia="sr-Latn-RS"/>
        </w:rPr>
        <w:lastRenderedPageBreak/>
        <w:t>период, на основу информација које достављају ресорна министарства и друга тела носиоци активности за спровођење појединих мера из акционог плана. Припрема годишњих прегледа потребних финансијских средстава и њихових извора одвијаће се истовремено са припремом буџета Републике Србије за наредну годину.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Аутономна покрајина Војводина и органи локалне самоуправе могу предвидети и финансирати из сопствених извора мере за спровођење стратешких приоритета овог документа.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Најзначајнији идентификовани ризици за спровођење Стратегије су недостатак финансијских средстава и недовољна сарадња и координација надлежних државних органа, организација и тела. Мера предвиђена за избегавање ризика који се односе на сарадњу надлежних државних органа, организација и тела је успостављање Савета, а мера предвиђена за избегавање, односно умањење ризика недостатка финансијских средстава је што веће коришћење донаторских средстава.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сарадњи са РСЈП, министарство надлежно за област привреде развиће систем за праћење утицаја спровођења Стратегије, заснован на објективно проверљивим показатељима успешности, који ће се ослањати на званичне статистичке податке и податке садржане у међународним извештајима. За потребе праћења спровођења Стратегије, биће унапређено статистичко и методолошко праћење стања у сектору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Основни показатељи за праћење спровођења стратешких циљева дати су у Табели 4 - Индикатори за праћење остваривања стратешких циљева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Табела 4 - Индикатори за праћење остваривања стратешких циљева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078"/>
        <w:gridCol w:w="1694"/>
        <w:gridCol w:w="1103"/>
        <w:gridCol w:w="5388"/>
        <w:gridCol w:w="158"/>
        <w:gridCol w:w="1099"/>
      </w:tblGrid>
      <w:tr w:rsidR="00AF22EC" w:rsidRPr="00AF22EC" w:rsidTr="00AF22EC">
        <w:trPr>
          <w:gridAfter w:val="2"/>
          <w:wAfter w:w="165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Преглед најважнијих индикатора</w:t>
            </w:r>
            <w:r w:rsidRPr="00AF22EC">
              <w:rPr>
                <w:rFonts w:ascii="Arial" w:eastAsia="Times New Roman" w:hAnsi="Arial" w:cs="Arial"/>
                <w:sz w:val="26"/>
                <w:szCs w:val="26"/>
                <w:lang w:eastAsia="sr-Latn-RS"/>
              </w:rPr>
              <w:br/>
              <w:t>за праћење остваривања стратешких циљева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Последњи расположиви подаци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2020 </w:t>
            </w:r>
          </w:p>
        </w:tc>
        <w:tc>
          <w:tcPr>
            <w:tcW w:w="499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Извори података </w:t>
            </w:r>
          </w:p>
        </w:tc>
      </w:tr>
      <w:tr w:rsidR="00AF22EC" w:rsidRPr="00AF22EC" w:rsidTr="00AF22EC">
        <w:trPr>
          <w:gridAfter w:val="2"/>
          <w:wAfter w:w="1654" w:type="dxa"/>
          <w:tblCellSpacing w:w="0" w:type="dxa"/>
        </w:trPr>
        <w:tc>
          <w:tcPr>
            <w:tcW w:w="9866" w:type="dxa"/>
            <w:gridSpan w:val="4"/>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Генерални индикатори </w:t>
            </w:r>
          </w:p>
        </w:tc>
      </w:tr>
      <w:tr w:rsidR="00AF22EC" w:rsidRPr="00AF22EC" w:rsidTr="00AF22EC">
        <w:trPr>
          <w:gridAfter w:val="2"/>
          <w:wAfter w:w="165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Укупан број МСПП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315.412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350.000 </w:t>
            </w:r>
          </w:p>
        </w:tc>
        <w:tc>
          <w:tcPr>
            <w:tcW w:w="499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Извештај о малим и средњим предузећима (Републички завод за статистику) </w:t>
            </w:r>
          </w:p>
        </w:tc>
      </w:tr>
      <w:tr w:rsidR="00AF22EC" w:rsidRPr="00AF22EC" w:rsidTr="00AF22EC">
        <w:trPr>
          <w:gridAfter w:val="2"/>
          <w:wAfter w:w="165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Укупан број запослених у сектору МСПП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768.550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950.000 </w:t>
            </w:r>
          </w:p>
        </w:tc>
        <w:tc>
          <w:tcPr>
            <w:tcW w:w="499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Извештај о малим и средњим предузећима (Републички завод за статистику) </w:t>
            </w:r>
          </w:p>
        </w:tc>
      </w:tr>
      <w:tr w:rsidR="00AF22EC" w:rsidRPr="00AF22EC" w:rsidTr="00AF22EC">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Реална просечна годишња стопа раста БДВ сектора МСПП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(2008-2013)</w:t>
            </w:r>
            <w:r w:rsidRPr="00AF22EC">
              <w:rPr>
                <w:rFonts w:ascii="Arial" w:eastAsia="Times New Roman" w:hAnsi="Arial" w:cs="Arial"/>
                <w:sz w:val="26"/>
                <w:szCs w:val="26"/>
                <w:lang w:eastAsia="sr-Latn-RS"/>
              </w:rPr>
              <w:br/>
              <w:t>-3,5%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(2015-2020)</w:t>
            </w:r>
            <w:r w:rsidRPr="00AF22EC">
              <w:rPr>
                <w:rFonts w:ascii="Arial" w:eastAsia="Times New Roman" w:hAnsi="Arial" w:cs="Arial"/>
                <w:sz w:val="26"/>
                <w:szCs w:val="26"/>
                <w:lang w:eastAsia="sr-Latn-RS"/>
              </w:rPr>
              <w:br/>
              <w:t>3,0% ±1 </w:t>
            </w:r>
          </w:p>
        </w:tc>
        <w:tc>
          <w:tcPr>
            <w:tcW w:w="518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Изведени показатељи (Републички завод за статистику) </w:t>
            </w:r>
          </w:p>
        </w:tc>
      </w:tr>
      <w:tr w:rsidR="00AF22EC" w:rsidRPr="00AF22EC" w:rsidTr="00AF22EC">
        <w:trPr>
          <w:gridAfter w:val="1"/>
          <w:tblCellSpacing w:w="0" w:type="dxa"/>
        </w:trPr>
        <w:tc>
          <w:tcPr>
            <w:tcW w:w="10057" w:type="dxa"/>
            <w:gridSpan w:val="5"/>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пословног окружења </w:t>
            </w:r>
          </w:p>
        </w:tc>
      </w:tr>
      <w:tr w:rsidR="00AF22EC" w:rsidRPr="00AF22EC" w:rsidTr="00AF22EC">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Ранг Републике Србије у Извештају Светске банке о пословању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91. (2015)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првих 60 </w:t>
            </w:r>
          </w:p>
        </w:tc>
        <w:tc>
          <w:tcPr>
            <w:tcW w:w="518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Извештај Светске банке о пословању </w:t>
            </w:r>
          </w:p>
        </w:tc>
      </w:tr>
      <w:tr w:rsidR="00AF22EC" w:rsidRPr="00AF22EC" w:rsidTr="00AF22EC">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Ранг Републике Србије према Глобалном индексу конкурентности Светског економског форума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94. (2014-2015)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првих 60 </w:t>
            </w:r>
          </w:p>
        </w:tc>
        <w:tc>
          <w:tcPr>
            <w:tcW w:w="518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Индекс глобалне конкурентности </w:t>
            </w:r>
          </w:p>
        </w:tc>
      </w:tr>
      <w:tr w:rsidR="00AF22EC" w:rsidRPr="00AF22EC" w:rsidTr="00AF22EC">
        <w:trPr>
          <w:gridAfter w:val="1"/>
          <w:tblCellSpacing w:w="0" w:type="dxa"/>
        </w:trPr>
        <w:tc>
          <w:tcPr>
            <w:tcW w:w="10057" w:type="dxa"/>
            <w:gridSpan w:val="5"/>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приступа изворима финансирања </w:t>
            </w:r>
          </w:p>
        </w:tc>
      </w:tr>
      <w:tr w:rsidR="00AF22EC" w:rsidRPr="00AF22EC" w:rsidTr="00AF22EC">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Доступност финансијских услуга резултат/ранг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Ранг 98/144 (2014-2015)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првих 60 </w:t>
            </w:r>
          </w:p>
        </w:tc>
        <w:tc>
          <w:tcPr>
            <w:tcW w:w="518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Индекс глобалне конкурентности </w:t>
            </w:r>
          </w:p>
        </w:tc>
      </w:tr>
      <w:tr w:rsidR="00AF22EC" w:rsidRPr="00AF22EC" w:rsidTr="00AF22EC">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Приступачност финансијских услуга резултат/ранг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Ранг 110/144 (2014-2015)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првих 60 </w:t>
            </w:r>
          </w:p>
        </w:tc>
        <w:tc>
          <w:tcPr>
            <w:tcW w:w="518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Индекс глобалне конкурентности </w:t>
            </w:r>
          </w:p>
        </w:tc>
      </w:tr>
      <w:tr w:rsidR="00AF22EC" w:rsidRPr="00AF22EC" w:rsidTr="00AF22EC">
        <w:trPr>
          <w:gridAfter w:val="1"/>
          <w:tblCellSpacing w:w="0" w:type="dxa"/>
        </w:trPr>
        <w:tc>
          <w:tcPr>
            <w:tcW w:w="10057" w:type="dxa"/>
            <w:gridSpan w:val="5"/>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Континуирани развој људских ресурса </w:t>
            </w:r>
          </w:p>
        </w:tc>
      </w:tr>
      <w:tr w:rsidR="00AF22EC" w:rsidRPr="00AF22EC" w:rsidTr="00AF22EC">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Високо образовање и обука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Ранг 74/144</w:t>
            </w:r>
            <w:r w:rsidRPr="00AF22EC">
              <w:rPr>
                <w:rFonts w:ascii="Arial" w:eastAsia="Times New Roman" w:hAnsi="Arial" w:cs="Arial"/>
                <w:sz w:val="26"/>
                <w:szCs w:val="26"/>
                <w:lang w:eastAsia="sr-Latn-RS"/>
              </w:rPr>
              <w:br/>
              <w:t>(2014-2015)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првих 60 </w:t>
            </w:r>
          </w:p>
        </w:tc>
        <w:tc>
          <w:tcPr>
            <w:tcW w:w="518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Индекс глобалне конкурентности </w:t>
            </w:r>
          </w:p>
        </w:tc>
      </w:tr>
      <w:tr w:rsidR="00AF22EC" w:rsidRPr="00AF22EC" w:rsidTr="00AF22EC">
        <w:trPr>
          <w:gridAfter w:val="1"/>
          <w:tblCellSpacing w:w="0" w:type="dxa"/>
        </w:trPr>
        <w:tc>
          <w:tcPr>
            <w:tcW w:w="10057" w:type="dxa"/>
            <w:gridSpan w:val="5"/>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Јачање одрживости и конкурентности МСПП </w:t>
            </w:r>
          </w:p>
        </w:tc>
      </w:tr>
      <w:tr w:rsidR="00AF22EC" w:rsidRPr="00AF22EC" w:rsidTr="00AF22EC">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Реална просечна годишња стопа раста промета МСПП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(2008-2013)</w:t>
            </w:r>
            <w:r w:rsidRPr="00AF22EC">
              <w:rPr>
                <w:rFonts w:ascii="Arial" w:eastAsia="Times New Roman" w:hAnsi="Arial" w:cs="Arial"/>
                <w:sz w:val="26"/>
                <w:szCs w:val="26"/>
                <w:lang w:eastAsia="sr-Latn-RS"/>
              </w:rPr>
              <w:br/>
              <w:t>-2,9%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(2015-2020)</w:t>
            </w:r>
            <w:r w:rsidRPr="00AF22EC">
              <w:rPr>
                <w:rFonts w:ascii="Arial" w:eastAsia="Times New Roman" w:hAnsi="Arial" w:cs="Arial"/>
                <w:sz w:val="26"/>
                <w:szCs w:val="26"/>
                <w:lang w:eastAsia="sr-Latn-RS"/>
              </w:rPr>
              <w:br/>
              <w:t>4,0%±1 </w:t>
            </w:r>
          </w:p>
        </w:tc>
        <w:tc>
          <w:tcPr>
            <w:tcW w:w="518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ind w:right="1418"/>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Изведени показатељи (Републички завод за статистику)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Годишња стопа раста МСП са производним </w:t>
            </w:r>
            <w:r w:rsidRPr="00AF22EC">
              <w:rPr>
                <w:rFonts w:ascii="Arial" w:eastAsia="Times New Roman" w:hAnsi="Arial" w:cs="Arial"/>
                <w:sz w:val="26"/>
                <w:szCs w:val="26"/>
                <w:lang w:eastAsia="sr-Latn-RS"/>
              </w:rPr>
              <w:lastRenderedPageBreak/>
              <w:t>или процесним иновацијама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10,1%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13%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Иноватион Унион Сцоребоард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Годишња стопа раста МСП са маркетиншким или организационим иновацијама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11,7%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14%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Иноватион Унион Сцоребоард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Квалитет локалних добављача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Ранг 98/144 (2014-2015)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првих 60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Индекс глобалне конкурентности </w:t>
            </w:r>
          </w:p>
        </w:tc>
      </w:tr>
      <w:tr w:rsidR="00AF22EC" w:rsidRPr="00AF22EC" w:rsidTr="00AF22EC">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приступа новим тржиштима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Удео извозника у укупном броју МСПП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4,3%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7%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Извештај о малим и средњим предузећима (Републички завод за статистику)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Учешће извоза у укупном промету сектора МСПП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9,1%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14%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Извештај о малим и средњим предузећима (Републички завод за статистику) </w:t>
            </w:r>
          </w:p>
        </w:tc>
      </w:tr>
    </w:tbl>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t>  </w:t>
      </w:r>
    </w:p>
    <w:p w:rsidR="00AF22EC" w:rsidRPr="00AF22EC" w:rsidRDefault="00AF22EC" w:rsidP="00AF22EC">
      <w:pPr>
        <w:spacing w:after="0" w:line="240" w:lineRule="auto"/>
        <w:jc w:val="center"/>
        <w:rPr>
          <w:rFonts w:ascii="Arial" w:eastAsia="Times New Roman" w:hAnsi="Arial" w:cs="Arial"/>
          <w:color w:val="000000"/>
          <w:sz w:val="36"/>
          <w:szCs w:val="36"/>
          <w:lang w:eastAsia="sr-Latn-RS"/>
        </w:rPr>
      </w:pPr>
      <w:bookmarkStart w:id="11" w:name="str_11"/>
      <w:bookmarkEnd w:id="11"/>
      <w:r w:rsidRPr="00AF22EC">
        <w:rPr>
          <w:rFonts w:ascii="Arial" w:eastAsia="Times New Roman" w:hAnsi="Arial" w:cs="Arial"/>
          <w:color w:val="000000"/>
          <w:sz w:val="36"/>
          <w:szCs w:val="36"/>
          <w:lang w:eastAsia="sr-Latn-RS"/>
        </w:rPr>
        <w:t>V СТРУКТУРА СТРАТЕГИЈЕ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Стратегија утврђује оквир мера за унапређење МСПП и конкурентности у наредном средњорочном периоду, који је приказан кроз шест стубова, и то: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1) Унапређење пословног окружења;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2) Унапређење приступа изворима финансирања;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3) Континуирани развој људских ресурса;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4) Јачање одрживости и конкурентности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5) Унапређење приступа новим тржиштима 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6) Развој и промоција предузетничког духа и подстицање предузетништва жена, младих и социјалног предузетништва.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На почетку сваког стуба дата је кратка оцена тренутног стања и актуелни проблеми у области на коју се стуб односи. Оквир будућих активности за сваки стуб даље је дефинисан кроз мере, које су груписане у више димензија стратешког стуба. </w:t>
      </w:r>
    </w:p>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12" w:name="str_12"/>
      <w:bookmarkEnd w:id="12"/>
      <w:r w:rsidRPr="00AF22EC">
        <w:rPr>
          <w:rFonts w:ascii="Arial" w:eastAsia="Times New Roman" w:hAnsi="Arial" w:cs="Arial"/>
          <w:b/>
          <w:bCs/>
          <w:i/>
          <w:iCs/>
          <w:color w:val="000000"/>
          <w:sz w:val="29"/>
          <w:szCs w:val="29"/>
          <w:lang w:eastAsia="sr-Latn-RS"/>
        </w:rPr>
        <w:lastRenderedPageBreak/>
        <w:t>1. СТУБ 1: Унапређење пословног окружења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Поуздан, предвидив и јасан правни и административни оквир пословања, који обезбеђује правну сигурност и не поставља непотребне препреке пословању, од изузетног је значаја за привредни развој јер директно утиче на конкурентност, ниво улагања и динамику развоја привреде.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протеклих десет година спроведене су значајне регулаторне промене у Републици Србији, које су имале за циљ стварање повољног пословног окружења, које погодује развоју економије и убрзању привредног раста. Свеобухватна реформа прописа, која је спроведена у периоду од 2009. до 2011. године, довела је до укидања више од две стотине прописа и смањивања административних трошкова за 183,1 милиона евра годишње, али је у истом периоду донето преко две хиљаде нових прописа, чиме је у великој мери умањен резултат ове реформе. Такође, преко 40 препорука обухваћених свеобухватном реформом прописа остало је неспроведено, док је један број препорука још увек у процесу спровођења.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Закон о привредним друштвима ("Службени гласник РС", бр. 36/11, 99/11, 83/14 - др. закон и 5/15), који је почео да се примењује 1. фебруара 2012. године, донео је више новина које су допринеле побољшању пословног окружења привредних субјеката, као што су: реорганизовање органа управљања и успостављање једнодомног или дводомног система управљања, где је једнодомни систем оптимизовао и олакшао управљање једночланим и друштвима са малим бројем чланова. Такође, прописано је смањивање новчаног улога за оснивање друштава са ограниченом одговорношћу на износ од 100 динара.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мера за унапређење пословног окружења, у 2014. години донети су и следећи закони: Закон о изменама и допунама Закона о стечају ("Службени гласник РС", број 83/14), Закон о изменама и допунама Закона о раду ("Службени гласник РС", број 75/14), Закон о приватизацији ("Службени гласник РС", број 83/14) и Закон о изменама и допунама Закона о планирању и изградњи ("Службени гласник РС", бр. 132/14 и 145/14), који су у значајној мери унапредили оквир пословања, а припремљен је и Нацрт закона о инспекцијском надзору који ће бити усвојен у 2015. години.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Иако је важан напредак у области регулаторне реформе остварен у последње две године, неопходно је наставити рад свих регулаторних тела и других институција ради отклањања препрека и смањења трошкова које позитивни прописи стварају привреди. При том, важно је посебно водити рачуна о ефектима примене прописа на пословање малих предузећа, која су најосетљивији део привреде и усвојити начело "мислити пре свега о малима" које ЕУ примењује, и препоручује његову примену у земљама чланицама приликом припреме и измене прописа.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У склопу регулаторне реформе потребно је да се унапреди и сам процес доношења прописа тако да се повећа транспарентност и предвидивост регулаторних активности и омогући већа укљученост привредних субјеката и грађана у доношење нових прописа. Регулаторна реформа је трајан процес који мора да се одвија на свим нивоима власти.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Успешна регулаторна реформа подразумева и успешну примену донетих прописа, па је у наредном периоду посебно важно уложити додатне напоре како би се осигурала ефикасна примена донетих прописа. Први корак је благовремено доношење свих аката неопходних за спровођење прописа. Измену прописа мора да прати и измена административних процедура и реформа државне управе, како би се постигли и одржали жељени резултати. Такође је потребно унапредити систем обезбеђивања квалитетних информација за доношења одлука као и за праћење ефеката примене прописа и других мера које спроводе надлежни органи.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Извештај Светске банке о пословању у Републици Србији, Извештај о глобалној конкурентности Светског економског форума, Сива књига НАЛЕД, Бела књига Савета страних инвеститора, као и анализе Пројекта за боље услове пословања УСАИД, ПКС и Уније послодаваца Србије указују на области у којима је, у наредном периоду, потребно извршити регулаторну реформу са циљем побољшања услова пословања, односно поједноставити или укинути поједине административне процедуре које стварају неоправдане трошкове привреди.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Табела 5 - Индекси регулаторног окружења </w:t>
      </w:r>
    </w:p>
    <w:tbl>
      <w:tblPr>
        <w:tblW w:w="9750"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379"/>
        <w:gridCol w:w="3443"/>
        <w:gridCol w:w="928"/>
      </w:tblGrid>
      <w:tr w:rsidR="00AF22EC" w:rsidRPr="00AF22EC" w:rsidTr="00AF22EC">
        <w:trPr>
          <w:tblCellSpacing w:w="0"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Индекси регулаторног окружења</w:t>
            </w:r>
            <w:r w:rsidRPr="00AF22EC">
              <w:rPr>
                <w:rFonts w:ascii="Arial" w:eastAsia="Times New Roman" w:hAnsi="Arial" w:cs="Arial"/>
                <w:sz w:val="26"/>
                <w:szCs w:val="26"/>
                <w:lang w:eastAsia="sr-Latn-RS"/>
              </w:rPr>
              <w:br/>
              <w:t>(Преглед показатеља за Републику Србију </w:t>
            </w:r>
            <w:r w:rsidRPr="00AF22EC">
              <w:rPr>
                <w:rFonts w:ascii="Arial" w:eastAsia="Times New Roman" w:hAnsi="Arial" w:cs="Arial"/>
                <w:sz w:val="26"/>
                <w:szCs w:val="26"/>
                <w:lang w:eastAsia="sr-Latn-RS"/>
              </w:rPr>
              <w:br/>
              <w:t>из Извештаја о глобалној конкурентности </w:t>
            </w:r>
            <w:r w:rsidRPr="00AF22EC">
              <w:rPr>
                <w:rFonts w:ascii="Arial" w:eastAsia="Times New Roman" w:hAnsi="Arial" w:cs="Arial"/>
                <w:sz w:val="26"/>
                <w:szCs w:val="26"/>
                <w:lang w:eastAsia="sr-Latn-RS"/>
              </w:rPr>
              <w:br/>
              <w:t>2014-2015. Светског економског форума)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Позиција на листи (144 државе) </w:t>
            </w:r>
          </w:p>
        </w:tc>
        <w:tc>
          <w:tcPr>
            <w:tcW w:w="92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Укупна оцена (1-7) </w:t>
            </w:r>
          </w:p>
        </w:tc>
      </w:tr>
      <w:tr w:rsidR="00AF22EC" w:rsidRPr="00AF22EC" w:rsidTr="00AF22EC">
        <w:trPr>
          <w:tblCellSpacing w:w="0"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Глобални индекс конкурентности 2014/2015.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94. (101. према </w:t>
            </w:r>
            <w:r w:rsidRPr="00AF22EC">
              <w:rPr>
                <w:rFonts w:ascii="Arial" w:eastAsia="Times New Roman" w:hAnsi="Arial" w:cs="Arial"/>
                <w:sz w:val="26"/>
                <w:szCs w:val="26"/>
                <w:lang w:eastAsia="sr-Latn-RS"/>
              </w:rPr>
              <w:br/>
              <w:t>Извештају за 2013/2014) </w:t>
            </w:r>
          </w:p>
        </w:tc>
        <w:tc>
          <w:tcPr>
            <w:tcW w:w="92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3,9 </w:t>
            </w:r>
          </w:p>
        </w:tc>
      </w:tr>
      <w:tr w:rsidR="00AF22EC" w:rsidRPr="00AF22EC" w:rsidTr="00AF22EC">
        <w:trPr>
          <w:tblCellSpacing w:w="0"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Административно оптерећење које стварају прописи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140. </w:t>
            </w:r>
          </w:p>
        </w:tc>
        <w:tc>
          <w:tcPr>
            <w:tcW w:w="92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2,2 </w:t>
            </w:r>
          </w:p>
        </w:tc>
      </w:tr>
      <w:tr w:rsidR="00AF22EC" w:rsidRPr="00AF22EC" w:rsidTr="00AF22EC">
        <w:trPr>
          <w:tblCellSpacing w:w="0"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Транспарентност формирања Владиних јавних политика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108. </w:t>
            </w:r>
          </w:p>
        </w:tc>
        <w:tc>
          <w:tcPr>
            <w:tcW w:w="92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3,6 </w:t>
            </w:r>
          </w:p>
        </w:tc>
      </w:tr>
      <w:tr w:rsidR="00AF22EC" w:rsidRPr="00AF22EC" w:rsidTr="00AF22EC">
        <w:trPr>
          <w:tblCellSpacing w:w="0"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Распрострањеност трговинских баријера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90. </w:t>
            </w:r>
          </w:p>
        </w:tc>
        <w:tc>
          <w:tcPr>
            <w:tcW w:w="92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4,3 </w:t>
            </w:r>
          </w:p>
        </w:tc>
      </w:tr>
      <w:tr w:rsidR="00AF22EC" w:rsidRPr="00AF22EC" w:rsidTr="00AF22EC">
        <w:trPr>
          <w:tblCellSpacing w:w="0"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Терет који стварају царинске процедуре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96. </w:t>
            </w:r>
          </w:p>
        </w:tc>
        <w:tc>
          <w:tcPr>
            <w:tcW w:w="92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3,6 </w:t>
            </w:r>
          </w:p>
        </w:tc>
      </w:tr>
      <w:tr w:rsidR="00AF22EC" w:rsidRPr="00AF22EC" w:rsidTr="00AF22EC">
        <w:trPr>
          <w:tblCellSpacing w:w="0" w:type="dxa"/>
        </w:trPr>
        <w:tc>
          <w:tcPr>
            <w:tcW w:w="537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Ефикасност радноправних прописа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119. </w:t>
            </w:r>
          </w:p>
        </w:tc>
        <w:tc>
          <w:tcPr>
            <w:tcW w:w="92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3,73 </w:t>
            </w:r>
          </w:p>
        </w:tc>
      </w:tr>
    </w:tbl>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Табела 6 - Преглед показатеља за Републику Србију из Извештаја Светске банке о пословању у Републици Србији </w:t>
      </w:r>
    </w:p>
    <w:tbl>
      <w:tblPr>
        <w:tblW w:w="9827"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088"/>
        <w:gridCol w:w="2484"/>
        <w:gridCol w:w="1255"/>
      </w:tblGrid>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Преглед показатеља за Републику Србију </w:t>
            </w:r>
            <w:r w:rsidRPr="00AF22EC">
              <w:rPr>
                <w:rFonts w:ascii="Arial" w:eastAsia="Times New Roman" w:hAnsi="Arial" w:cs="Arial"/>
                <w:sz w:val="26"/>
                <w:szCs w:val="26"/>
                <w:lang w:eastAsia="sr-Latn-RS"/>
              </w:rPr>
              <w:br/>
              <w:t>из Извештаја Светске банке о пословању </w:t>
            </w:r>
            <w:r w:rsidRPr="00AF22EC">
              <w:rPr>
                <w:rFonts w:ascii="Arial" w:eastAsia="Times New Roman" w:hAnsi="Arial" w:cs="Arial"/>
                <w:sz w:val="26"/>
                <w:szCs w:val="26"/>
                <w:lang w:eastAsia="sr-Latn-RS"/>
              </w:rPr>
              <w:br/>
              <w:t>у Републици Србији за 2014. и 2015. годину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2014. </w:t>
            </w:r>
            <w:r w:rsidRPr="00AF22EC">
              <w:rPr>
                <w:rFonts w:ascii="Arial" w:eastAsia="Times New Roman" w:hAnsi="Arial" w:cs="Arial"/>
                <w:sz w:val="26"/>
                <w:szCs w:val="26"/>
                <w:lang w:eastAsia="sr-Latn-RS"/>
              </w:rPr>
              <w:br/>
              <w:t>Позиција </w:t>
            </w:r>
            <w:r w:rsidRPr="00AF22EC">
              <w:rPr>
                <w:rFonts w:ascii="Arial" w:eastAsia="Times New Roman" w:hAnsi="Arial" w:cs="Arial"/>
                <w:sz w:val="26"/>
                <w:szCs w:val="26"/>
                <w:lang w:eastAsia="sr-Latn-RS"/>
              </w:rPr>
              <w:br/>
              <w:t>на листи </w:t>
            </w:r>
            <w:r w:rsidRPr="00AF22EC">
              <w:rPr>
                <w:rFonts w:ascii="Arial" w:eastAsia="Times New Roman" w:hAnsi="Arial" w:cs="Arial"/>
                <w:sz w:val="26"/>
                <w:szCs w:val="26"/>
                <w:lang w:eastAsia="sr-Latn-RS"/>
              </w:rPr>
              <w:br/>
              <w:t>(за 189 држава)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r w:rsidRPr="00AF22EC">
              <w:rPr>
                <w:rFonts w:ascii="Arial" w:eastAsia="Times New Roman" w:hAnsi="Arial" w:cs="Arial"/>
                <w:sz w:val="26"/>
                <w:szCs w:val="26"/>
                <w:lang w:eastAsia="sr-Latn-RS"/>
              </w:rPr>
              <w:br/>
              <w:t>Позиција </w:t>
            </w:r>
            <w:r w:rsidRPr="00AF22EC">
              <w:rPr>
                <w:rFonts w:ascii="Arial" w:eastAsia="Times New Roman" w:hAnsi="Arial" w:cs="Arial"/>
                <w:sz w:val="26"/>
                <w:szCs w:val="26"/>
                <w:lang w:eastAsia="sr-Latn-RS"/>
              </w:rPr>
              <w:br/>
              <w:t>на листи </w:t>
            </w:r>
            <w:r w:rsidRPr="00AF22EC">
              <w:rPr>
                <w:rFonts w:ascii="Arial" w:eastAsia="Times New Roman" w:hAnsi="Arial" w:cs="Arial"/>
                <w:sz w:val="26"/>
                <w:szCs w:val="26"/>
                <w:lang w:eastAsia="sr-Latn-RS"/>
              </w:rPr>
              <w:br/>
              <w:t>(за 189 држава)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Покретање посла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63. 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66. 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Прибављање грађевинске дозволе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184. 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186. 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струје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77. 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84. 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Упис непокретности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48. 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72. 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Добијање кредита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45. 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52. 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Заштита инвеститора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32. 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32. 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Плаћање пореза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162. 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165. 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Међународна трговина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94. 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96. 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Спровођење уговора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96. 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96. 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Стечај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47. 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48. </w:t>
            </w:r>
          </w:p>
        </w:tc>
      </w:tr>
      <w:tr w:rsidR="00AF22EC" w:rsidRPr="00AF22EC" w:rsidTr="00AF22EC">
        <w:trPr>
          <w:tblCellSpacing w:w="0" w:type="dxa"/>
        </w:trPr>
        <w:tc>
          <w:tcPr>
            <w:tcW w:w="608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Укупно: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77. </w:t>
            </w:r>
          </w:p>
        </w:tc>
        <w:tc>
          <w:tcPr>
            <w:tcW w:w="125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91. 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1: Успостављање подстицајног регулаторног оквира у складу са потребама и могућностима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 регулаторне реформе у Републици Србији је измена прописа који у највећој мери негативно утичу на пословно окружење. Кључне мере односе се на даље унапређење регулаторног оквира за стечај кроз измене и допуне закона у тој области, унапређење законског оквира за привредна друштва, задруге и занатлије, даље унапређење прописа који се тичу одређених питања из радноправних односа, спровођење започете реформе система издавања дозвола у поступку изградње, реформу инспекцијског надзора и бољу координацију између различитих инспекцијских служби. Неопходно је и пратити спровођење донетих регулаторних оквира и, где је потребно, извршити унапређење.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Реформом прописа којима се уређује поступак стечаја овај поступак је учињен ефикаснијим и економичнијим са аспеката времена трајања и трошкова поступка. Додатна унапређења могу се извршити омогућавањем лиценцираним привредним друштвима да врше послове стечајног управника, као и додатним поједностављењем поступка.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Даља реформа радног законодавства спроводиће се са циљем унапређења услова за отварање нових радних места. Потребно је додатно појачати улогу и надлежност инспекције рада ради смањења црног тржишта радне снаге. Такође је неопходно наставити са активностима на смањењу сувишних процедура које захтевају непотребно администрирање за послодавца, а не доприносе продуктивности нити </w:t>
      </w:r>
      <w:r w:rsidRPr="00AF22EC">
        <w:rPr>
          <w:rFonts w:ascii="Arial" w:eastAsia="Times New Roman" w:hAnsi="Arial" w:cs="Arial"/>
          <w:color w:val="000000"/>
          <w:sz w:val="26"/>
          <w:szCs w:val="26"/>
          <w:lang w:eastAsia="sr-Latn-RS"/>
        </w:rPr>
        <w:lastRenderedPageBreak/>
        <w:t>контроли од стране државних органа, посебно кроз подршку потпуног успостављања рада Централног регистра за обавезно социјално осигурање.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Изменама Закона о привредним друштвима потребно је унапредити статус и положај привредних субјеката и њихових обавеза ради стимулисања увећања њиховог броја.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Потребно је активно спроводити закон којим се уређује планирање и изградња и на време усвојити све подзаконске акте и усагласити прописе који уређују ову област са циљем смањења броја процедура и ефикаснијег издавања дозвола у поступку грађења.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Реформом инспекцијског надзора потребно је успоставити делотворан и јасан систем инспекцијског надзора, чији ће нагласак бити на превентивном деловању инспекција, као и на успостављању ефикасног система координације и контроле рада инспекцијских служби. То пре свега упућује на доношење посебног закона и пратећих подзаконских аката којима ће се уредити област инспекцијског надзора, као и усклађивање посебних прописа којима се уређује вршење инспекцијског надзора у појединачним областима са новим правним оквиром.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ове димензије укључени су најважнији секторски проблеми идентификовани током акције "Имате реч - будите део решења", коју су организовали Министарство привреде и ПКС у сарадњи са ресорним министарствима. Секторски приступ у решавању регулаторних проблема треба да допринесе унапређењу амбијента за пословање и инвестирање у појединачним секторима привређивања.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10203"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770"/>
        <w:gridCol w:w="9433"/>
      </w:tblGrid>
      <w:tr w:rsidR="00AF22EC" w:rsidRPr="00AF22EC" w:rsidTr="00AF22EC">
        <w:trPr>
          <w:tblCellSpacing w:w="0" w:type="dxa"/>
        </w:trPr>
        <w:tc>
          <w:tcPr>
            <w:tcW w:w="7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9433" w:type="dxa"/>
            <w:hideMark/>
          </w:tcPr>
          <w:p w:rsidR="00AF22EC" w:rsidRPr="00AF22EC" w:rsidRDefault="00AF22EC" w:rsidP="00AF22EC">
            <w:pPr>
              <w:spacing w:before="100" w:beforeAutospacing="1" w:after="100" w:afterAutospacing="1" w:line="240" w:lineRule="auto"/>
              <w:ind w:left="-739" w:firstLine="709"/>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правног оквира за оснивање, пословање и гашење привредних субјеката; </w:t>
            </w:r>
          </w:p>
        </w:tc>
      </w:tr>
      <w:tr w:rsidR="00AF22EC" w:rsidRPr="00AF22EC" w:rsidTr="00AF22EC">
        <w:trPr>
          <w:tblCellSpacing w:w="0" w:type="dxa"/>
        </w:trPr>
        <w:tc>
          <w:tcPr>
            <w:tcW w:w="7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9433" w:type="dxa"/>
            <w:hideMark/>
          </w:tcPr>
          <w:p w:rsidR="00AF22EC" w:rsidRPr="00AF22EC" w:rsidRDefault="00AF22EC" w:rsidP="00AF22EC">
            <w:pPr>
              <w:spacing w:before="100" w:beforeAutospacing="1" w:after="100" w:afterAutospacing="1" w:line="240" w:lineRule="auto"/>
              <w:ind w:left="-739" w:firstLine="709"/>
              <w:rPr>
                <w:rFonts w:ascii="Arial" w:eastAsia="Times New Roman" w:hAnsi="Arial" w:cs="Arial"/>
                <w:sz w:val="26"/>
                <w:szCs w:val="26"/>
                <w:lang w:eastAsia="sr-Latn-RS"/>
              </w:rPr>
            </w:pPr>
            <w:r w:rsidRPr="00AF22EC">
              <w:rPr>
                <w:rFonts w:ascii="Arial" w:eastAsia="Times New Roman" w:hAnsi="Arial" w:cs="Arial"/>
                <w:sz w:val="26"/>
                <w:szCs w:val="26"/>
                <w:lang w:eastAsia="sr-Latn-RS"/>
              </w:rPr>
              <w:t>Смањење пореских и непореских обавеза привреди; </w:t>
            </w:r>
          </w:p>
        </w:tc>
      </w:tr>
      <w:tr w:rsidR="00AF22EC" w:rsidRPr="00AF22EC" w:rsidTr="00AF22EC">
        <w:trPr>
          <w:tblCellSpacing w:w="0" w:type="dxa"/>
        </w:trPr>
        <w:tc>
          <w:tcPr>
            <w:tcW w:w="7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9433" w:type="dxa"/>
            <w:hideMark/>
          </w:tcPr>
          <w:p w:rsidR="00AF22EC" w:rsidRPr="00AF22EC" w:rsidRDefault="00AF22EC" w:rsidP="00AF22EC">
            <w:pPr>
              <w:spacing w:before="100" w:beforeAutospacing="1" w:after="100" w:afterAutospacing="1" w:line="240" w:lineRule="auto"/>
              <w:ind w:left="-739" w:firstLine="709"/>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ефикаснијих процедура за инвестиционо улагање у изградњу и управљање непокретностима; </w:t>
            </w:r>
          </w:p>
        </w:tc>
      </w:tr>
      <w:tr w:rsidR="00AF22EC" w:rsidRPr="00AF22EC" w:rsidTr="00AF22EC">
        <w:trPr>
          <w:tblCellSpacing w:w="0" w:type="dxa"/>
        </w:trPr>
        <w:tc>
          <w:tcPr>
            <w:tcW w:w="7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w:t>
            </w:r>
          </w:p>
        </w:tc>
        <w:tc>
          <w:tcPr>
            <w:tcW w:w="9433" w:type="dxa"/>
            <w:hideMark/>
          </w:tcPr>
          <w:p w:rsidR="00AF22EC" w:rsidRPr="00AF22EC" w:rsidRDefault="00AF22EC" w:rsidP="00AF22EC">
            <w:pPr>
              <w:spacing w:before="100" w:beforeAutospacing="1" w:after="100" w:afterAutospacing="1" w:line="240" w:lineRule="auto"/>
              <w:ind w:left="-739" w:firstLine="709"/>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регулаторног оквира инспекцијског надзора; </w:t>
            </w:r>
          </w:p>
        </w:tc>
      </w:tr>
      <w:tr w:rsidR="00AF22EC" w:rsidRPr="00AF22EC" w:rsidTr="00AF22EC">
        <w:trPr>
          <w:tblCellSpacing w:w="0" w:type="dxa"/>
        </w:trPr>
        <w:tc>
          <w:tcPr>
            <w:tcW w:w="7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M5 </w:t>
            </w:r>
          </w:p>
        </w:tc>
        <w:tc>
          <w:tcPr>
            <w:tcW w:w="9433" w:type="dxa"/>
            <w:hideMark/>
          </w:tcPr>
          <w:p w:rsidR="00AF22EC" w:rsidRPr="00AF22EC" w:rsidRDefault="00AF22EC" w:rsidP="00AF22EC">
            <w:pPr>
              <w:spacing w:before="100" w:beforeAutospacing="1" w:after="100" w:afterAutospacing="1" w:line="240" w:lineRule="auto"/>
              <w:ind w:left="-739" w:firstLine="709"/>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законодавног оквира у области радних односа и права из радних односа; </w:t>
            </w:r>
          </w:p>
        </w:tc>
      </w:tr>
      <w:tr w:rsidR="00AF22EC" w:rsidRPr="00AF22EC" w:rsidTr="00AF22EC">
        <w:trPr>
          <w:tblCellSpacing w:w="0" w:type="dxa"/>
        </w:trPr>
        <w:tc>
          <w:tcPr>
            <w:tcW w:w="7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M6 </w:t>
            </w:r>
          </w:p>
        </w:tc>
        <w:tc>
          <w:tcPr>
            <w:tcW w:w="9433" w:type="dxa"/>
            <w:hideMark/>
          </w:tcPr>
          <w:p w:rsidR="00AF22EC" w:rsidRPr="00AF22EC" w:rsidRDefault="00AF22EC" w:rsidP="00AF22EC">
            <w:pPr>
              <w:spacing w:before="100" w:beforeAutospacing="1" w:after="100" w:afterAutospacing="1" w:line="240" w:lineRule="auto"/>
              <w:ind w:left="-739" w:firstLine="709"/>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Регулаторна реформа секторских прописа значајних за пословање МСПП;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M7 </w:t>
            </w:r>
          </w:p>
        </w:tc>
        <w:tc>
          <w:tcPr>
            <w:tcW w:w="9433"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Подршка спровођењу регулаторне реформе на покрајинском и локалном нивоу.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2: Унапређење ефикасности спровођења административних поступака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Административни поступци могу бити узрок значајног оптерећења за пословање МСПП, те је њихово поједностављење препознато као један од главних циљева Акта о малим предузећима.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циљу предвидивости регулаторног окружења, потребно је утврдити обавезу да се код најучесталијих административних поступака (издавања различитих врста дозвола, потврда, сертификата или лиценци) морају предвидети нормативни оквири пружања услуга, који ће одредити временски оквир за доношење одлука и дефинисати објективне, јасне и транспарентне услове за пружање услуга. На тај начин допринеће се уједначавању праксе надлежних органа, организација и тела приликом пружања исте врсте услуге. На основу овако систематизованих административних поступака потребно је приступити њиховој оптимизацији у смислу поједностављења и елиминације непотребних корака и трошкова.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Увођење електронских сервиса и једношалтерског система у што већем броју области (за дозволе у поступку грађења; пријаву и одјаву запослених; услуге локалних самоуправа за привреду) значајно може помоћи да се административни поступци поједноставе и убрзају, а трошкови за привреду смање, што је једна од значајних мера подршке и растерећења МСПП. У наредном периоду потребно је наставити са изградњом Портала е-управе који треба на једном месту да обједини све административне поступке и захтеве које примењују органи државне управе, територијалне аутономије и локалне самоуправе. Простор за унапређење у домену е-управе је значајан, поготову ако се узму у обзир упоредни подаци о развијености у овој области у односу на земље из региона.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Табела 7 - Преглед показатеља о е-управи </w:t>
      </w:r>
    </w:p>
    <w:tbl>
      <w:tblPr>
        <w:tblW w:w="10346"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414"/>
        <w:gridCol w:w="1272"/>
        <w:gridCol w:w="1272"/>
        <w:gridCol w:w="1595"/>
        <w:gridCol w:w="1793"/>
      </w:tblGrid>
      <w:tr w:rsidR="00AF22EC" w:rsidRPr="00AF22EC" w:rsidTr="00AF22EC">
        <w:trPr>
          <w:tblCellSpacing w:w="0" w:type="dxa"/>
        </w:trPr>
        <w:tc>
          <w:tcPr>
            <w:tcW w:w="10346"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Уједињене нације - Истраживање о е-управи 2014.</w:t>
            </w:r>
            <w:r w:rsidRPr="00AF22EC">
              <w:rPr>
                <w:rFonts w:ascii="Arial" w:eastAsia="Times New Roman" w:hAnsi="Arial" w:cs="Arial"/>
                <w:sz w:val="26"/>
                <w:szCs w:val="26"/>
                <w:lang w:eastAsia="sr-Latn-RS"/>
              </w:rPr>
              <w:br/>
              <w:t>Преглед показатеља за Републику Србију из Истраживања е-управе Уједињених нација за 2014. годину </w:t>
            </w:r>
          </w:p>
        </w:tc>
      </w:tr>
      <w:tr w:rsidR="00AF22EC" w:rsidRPr="00AF22EC" w:rsidTr="00AF22EC">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Индекс </w:t>
            </w:r>
            <w:r w:rsidRPr="00AF22EC">
              <w:rPr>
                <w:rFonts w:ascii="Arial" w:eastAsia="Times New Roman" w:hAnsi="Arial" w:cs="Arial"/>
                <w:sz w:val="26"/>
                <w:szCs w:val="26"/>
                <w:lang w:eastAsia="sr-Latn-RS"/>
              </w:rPr>
              <w:br/>
              <w:t>напретка </w:t>
            </w:r>
            <w:r w:rsidRPr="00AF22EC">
              <w:rPr>
                <w:rFonts w:ascii="Arial" w:eastAsia="Times New Roman" w:hAnsi="Arial" w:cs="Arial"/>
                <w:sz w:val="26"/>
                <w:szCs w:val="26"/>
                <w:lang w:eastAsia="sr-Latn-RS"/>
              </w:rPr>
              <w:br/>
              <w:t>е-управе </w:t>
            </w:r>
            <w:r w:rsidRPr="00AF22EC">
              <w:rPr>
                <w:rFonts w:ascii="Arial" w:eastAsia="Times New Roman" w:hAnsi="Arial" w:cs="Arial"/>
                <w:sz w:val="26"/>
                <w:szCs w:val="26"/>
                <w:lang w:eastAsia="sr-Latn-RS"/>
              </w:rPr>
              <w:br/>
              <w:t>2012. 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Индекс </w:t>
            </w:r>
            <w:r w:rsidRPr="00AF22EC">
              <w:rPr>
                <w:rFonts w:ascii="Arial" w:eastAsia="Times New Roman" w:hAnsi="Arial" w:cs="Arial"/>
                <w:sz w:val="26"/>
                <w:szCs w:val="26"/>
                <w:lang w:eastAsia="sr-Latn-RS"/>
              </w:rPr>
              <w:br/>
              <w:t>напретка </w:t>
            </w:r>
            <w:r w:rsidRPr="00AF22EC">
              <w:rPr>
                <w:rFonts w:ascii="Arial" w:eastAsia="Times New Roman" w:hAnsi="Arial" w:cs="Arial"/>
                <w:sz w:val="26"/>
                <w:szCs w:val="26"/>
                <w:lang w:eastAsia="sr-Latn-RS"/>
              </w:rPr>
              <w:br/>
              <w:t>е-управе </w:t>
            </w:r>
            <w:r w:rsidRPr="00AF22EC">
              <w:rPr>
                <w:rFonts w:ascii="Arial" w:eastAsia="Times New Roman" w:hAnsi="Arial" w:cs="Arial"/>
                <w:sz w:val="26"/>
                <w:szCs w:val="26"/>
                <w:lang w:eastAsia="sr-Latn-RS"/>
              </w:rPr>
              <w:br/>
              <w:t>2014. 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Позиција </w:t>
            </w:r>
            <w:r w:rsidRPr="00AF22EC">
              <w:rPr>
                <w:rFonts w:ascii="Arial" w:eastAsia="Times New Roman" w:hAnsi="Arial" w:cs="Arial"/>
                <w:sz w:val="26"/>
                <w:szCs w:val="26"/>
                <w:lang w:eastAsia="sr-Latn-RS"/>
              </w:rPr>
              <w:br/>
              <w:t>на светској </w:t>
            </w:r>
            <w:r w:rsidRPr="00AF22EC">
              <w:rPr>
                <w:rFonts w:ascii="Arial" w:eastAsia="Times New Roman" w:hAnsi="Arial" w:cs="Arial"/>
                <w:sz w:val="26"/>
                <w:szCs w:val="26"/>
                <w:lang w:eastAsia="sr-Latn-RS"/>
              </w:rPr>
              <w:br/>
              <w:t>листи 2012. </w:t>
            </w:r>
            <w:r w:rsidRPr="00AF22EC">
              <w:rPr>
                <w:rFonts w:ascii="Arial" w:eastAsia="Times New Roman" w:hAnsi="Arial" w:cs="Arial"/>
                <w:sz w:val="26"/>
                <w:szCs w:val="26"/>
                <w:lang w:eastAsia="sr-Latn-RS"/>
              </w:rPr>
              <w:br/>
              <w:t>(1-193) </w:t>
            </w:r>
          </w:p>
        </w:tc>
        <w:tc>
          <w:tcPr>
            <w:tcW w:w="1773"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Позиција </w:t>
            </w:r>
            <w:r w:rsidRPr="00AF22EC">
              <w:rPr>
                <w:rFonts w:ascii="Arial" w:eastAsia="Times New Roman" w:hAnsi="Arial" w:cs="Arial"/>
                <w:sz w:val="26"/>
                <w:szCs w:val="26"/>
                <w:lang w:eastAsia="sr-Latn-RS"/>
              </w:rPr>
              <w:br/>
              <w:t>на светској </w:t>
            </w:r>
            <w:r w:rsidRPr="00AF22EC">
              <w:rPr>
                <w:rFonts w:ascii="Arial" w:eastAsia="Times New Roman" w:hAnsi="Arial" w:cs="Arial"/>
                <w:sz w:val="26"/>
                <w:szCs w:val="26"/>
                <w:lang w:eastAsia="sr-Latn-RS"/>
              </w:rPr>
              <w:br/>
              <w:t>листи 2014. </w:t>
            </w:r>
            <w:r w:rsidRPr="00AF22EC">
              <w:rPr>
                <w:rFonts w:ascii="Arial" w:eastAsia="Times New Roman" w:hAnsi="Arial" w:cs="Arial"/>
                <w:sz w:val="26"/>
                <w:szCs w:val="26"/>
                <w:lang w:eastAsia="sr-Latn-RS"/>
              </w:rPr>
              <w:br/>
              <w:t>(1-193) </w:t>
            </w:r>
          </w:p>
        </w:tc>
      </w:tr>
      <w:tr w:rsidR="00AF22EC" w:rsidRPr="00AF22EC" w:rsidTr="00AF22EC">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Србија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0,6312 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0,5472 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51 </w:t>
            </w:r>
          </w:p>
        </w:tc>
        <w:tc>
          <w:tcPr>
            <w:tcW w:w="1773"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69 </w:t>
            </w:r>
          </w:p>
        </w:tc>
      </w:tr>
      <w:tr w:rsidR="00AF22EC" w:rsidRPr="00AF22EC" w:rsidTr="00AF22EC">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Просек региона (Југоисточна Европа)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0,6574 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0,6276 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1773"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AF22EC">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Светски просек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0,4882 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0,4712 </w:t>
            </w:r>
          </w:p>
        </w:tc>
        <w:tc>
          <w:tcPr>
            <w:tcW w:w="0" w:type="auto"/>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1773"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bl>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За потребе праћења стања у пословном окружењу и резултата регулаторне реформе, неопходно је припремити стандарде и упутства, а </w:t>
      </w:r>
      <w:r w:rsidRPr="00AF22EC">
        <w:rPr>
          <w:rFonts w:ascii="Arial" w:eastAsia="Times New Roman" w:hAnsi="Arial" w:cs="Arial"/>
          <w:color w:val="000000"/>
          <w:sz w:val="26"/>
          <w:szCs w:val="26"/>
          <w:lang w:eastAsia="sr-Latn-RS"/>
        </w:rPr>
        <w:lastRenderedPageBreak/>
        <w:t>затим приступити редовном мерењу административног оптерећења привреде.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Потребно је омогућити и бољи приступ МСПП јавним набавкама, побољшати њихову информисаност о различитим аспектима учешћа у поступцима јавних набавки и смањити административне препреке за учешће МСПП на тендерима, поред осталог, и већим коришћењем могућности електронских јавних набавки.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11051"/>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Измене и допуне регулаторног оквира којима се уређује спровођење административних поступака у органима државне управе, аутономних покрајина и локалних самоуправа;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рада на јачању система електронске управе;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једношалтерског система за пружање што већег броја услуга;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Праћење ефикасности реализације административних поступака и мерење административних трошкова привреде;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M5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Побољшање услова за учешће МСПП у јавним набавкама.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3: Повећање транспарентности процеса доношења прописа и јавних политика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Активно учешће представника привреде у поступцима доношења прописа и аката подразумева правовремену доступност информација, отворени дијалог и партнерство јавног и приватног сектора на стварању повољног правног оквира за пословање. Зато треба побољшати информисаност привредника о плановима који се односе на измену прописа од значаја за привреду, размотрити утврђивање обавезе спровођења јавне расправе за све прописе који утичу на пословно окружење и успоставити стални дијалог на свим нивоима организације јавне власти са представницима привреде.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циљу унапређења дијалога са представницима МСПП предвиђено је успостављање Савета као повременог радног тела Владе у чијем раду ће бити укључени представници сектора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Кроз формирање мешовитих радних група треба увести системско праћење ефеката прописа који утичу на пословно окружење у циљу прикупљања потребних података за њихово унапређење.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Поред наведеног неопходно је предузети мере усмерене на побољшање процеса измене прописа. Такође, потребно је увести принцип "мислити пре свега о малима" кроз увођење теста утицаја на мала и средња предузећа.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11051"/>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M1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Обавезно укључивање представника привреде у процес припреме прописа и јавних политика и повећање предвидљивости промена услова пословања;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Образовање Савета за мала и средња предузећа, предузетништво и конкурентност;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механизма за праћење ефеката примене прописа који утичу на пословно окружење;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Укључивање теста утицаја на МСП у анализу ефеката прописа. </w:t>
            </w:r>
          </w:p>
        </w:tc>
      </w:tr>
    </w:tbl>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13" w:name="str_13"/>
      <w:bookmarkEnd w:id="13"/>
      <w:r w:rsidRPr="00AF22EC">
        <w:rPr>
          <w:rFonts w:ascii="Arial" w:eastAsia="Times New Roman" w:hAnsi="Arial" w:cs="Arial"/>
          <w:b/>
          <w:bCs/>
          <w:i/>
          <w:iCs/>
          <w:color w:val="000000"/>
          <w:sz w:val="29"/>
          <w:szCs w:val="29"/>
          <w:lang w:eastAsia="sr-Latn-RS"/>
        </w:rPr>
        <w:t>2. СТУБ 2: Унапређење приступа изворима финансирања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Република Србија је у Извештају о глобалној конкурентности Светског економског форума за период од 2014. до 2015. године на 98. месту од укупно 144 земље када је реч о доступности финансијских услуга, на 110. месту у погледу њихове приступачности и чак на 121. и 132. месту у односу на приступ кредитима и расположивости предузетног капитала. Ове оцене су лошије од оцена већине суседних земаља и то је дугорочни тренд.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Финансијско тржиште за МСПП у Републици Србији одликује мањак могућности задуживања ради започињања, односно проширења пословања. Чини га већином неповољна кредитна понуда банкарског сектора услед релативно високих каматних стопа, високих захтева за колатералом и недостатка дугорочних кредита, као и недовољног значаја пословних планова приликом доношења одлуке о додели кредита. У најтежем положају су новооснована предузећа/предузетници с обзиром да банке преузимају највећи ризик код њиховог финансирања.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Приступачност и расположивост повољних кредитних линија је унапређена, кроз пласирање кредитних линија обезбеђених уз гаранцију државе попут Апекс кредита Европске инвестиционе банке. Важну улогу у том контексту имају и кредити Фонда за развој, краткорочни кредити, факторинг, гаранције и осигурања потраживања по основу извозних послова које пружа АОФИ, као и субвенционисани кредити за ликвидност, трајна обртна средства и инвестиције. Међутим, повољних кредитних линија и даље нема довољно, поготово за одређене сегменте МСПП. Фонд за развој је готово једина институција у Републици Србији која финансира почетнике у пословању кроз кредитну линију за новооснована привредна друштва и предузетнике.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Гаранцијске шеме, које су врло важан инструмент за олакшавање приступа финансијама за МСПП кроз ублажавање услова у погледу неопходних средстава обезбеђења при добијању кредита, у Републици Србији су недовољно развијене. Кредитне гаранције чиниле су мали део досадашњег портфолија Фонда за развој и нису биле усмерене на МСПП, док је понуда кроз Гаранцијски фонд АП Војводине била мало повољнија. Локални гаранцијски фондови не постоје. Иако банке у Републици Србији имају могућност да кроз програме, које финансира ЕУ, обезбеде кредитне </w:t>
      </w:r>
      <w:r w:rsidRPr="00AF22EC">
        <w:rPr>
          <w:rFonts w:ascii="Arial" w:eastAsia="Times New Roman" w:hAnsi="Arial" w:cs="Arial"/>
          <w:color w:val="000000"/>
          <w:sz w:val="26"/>
          <w:szCs w:val="26"/>
          <w:lang w:eastAsia="sr-Latn-RS"/>
        </w:rPr>
        <w:lastRenderedPageBreak/>
        <w:t>гаранције за постојеће кредитне линије намењене МСПП, интерес је веома слаб и та средства се недовољно користе.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Финансијски инструменти засновани на улагању у капитал предузећа су нарочито значајни за иновативна и брзорастућа МСПП, било да се ради о чистим капиталним улагањима или о мезанин улагањима, која у себи комбинују улагања на бази кредита и на бази капитала. Иако ова предузећа чине мали део сектора МСПП, она су кључна за осигурање дугорочне конкурентности земље, у тржишним сегментима у ширењу (нпр. дигитална технологија и информационо-комуникационе технологије). Ови финансијски инструменти у развијеним земљама имају врло велику улогу у финансирању МСПП, док су код нас тек у повоју.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Финансијским инструментима заснованим на улагањима у капитал предузећа у развијеним земљама баве се фондови предузетног капитала. Предузетни капитал представља посебну врсту власничког капитала који се улаже у привредне субјекте у фазама оснивања, раног развоја и експанзије. Фондови предузетног капитала најчешће се оснивају у форми командитног друштва, друштва са ограниченом одговорношћу или акционарског друштва, управљају приватним капиталом инвеститора и исти улажу у виду учешћа у основном капиталу односно власничком капиталу МСП високог развојног потенцијала у фазама оснивања, раног развоја и експанзије (у даљем тексту: фондови предузетног капитала). У Републици Србији, осим спорадичних улагања фондова предузетног капитала регистрованих у иностранству, забележено је и неколико улагања Европске банке за обнову и развој преко програма Линија за локална предузећа (Лоцал Ентерприсе Facility - ЛЕФ) као и улагања Фонда за подршку малим предузећима (СЕАФ).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Улагањем у капитал потенцијално брзорастућих предузећа баве се и "пословни анђели", физичка лица која улажу сопствени приватни капитал, знање и искуство у млада предузећа високог развојног потенцијала у раним фазама оснивања и развоја у замену за власнички удео у њима (у даљем тексту: пословни анђели).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Републици Србији основана је прва мрежа пословних анђела Сербиан Бусинесс Ангелс Network (у даљем тексту: СБАН), која тек треба да се развије и започне са улагањима, као и Српска асоцијација приватних улагача у капитал предузећа (СПЕА).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Подршку новооснованим, иновационим предузећима, као и подршку за комерцијализацију истраживања и даљи развој иновационих предузећа, у оквиру бесповратних средстава, од 2006. године пружа, министарство надлежно за послове просвете и науке кроз програме подршке који се доносе у складу са законом који уређује иновациону делатност као и кроз Фонд за иновациону делатност од 2012. године у оквиру ИПА фондова, за чије спровођење је надлежна Светска банка.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Микрофинансирање у Републици Србији је слабо заступљено иако је то важна алтернатива за економски најслабија предузећа, која често не могу да испуне услове за добијање банкарских кредита. Три организације које се овим послом баве у Републици Србији (Агроинвест, Фонд за микро развој и МицроФинС) добијају финансијску подршку међународних донатора, али не могу средства да пласирају непосредно, већ преко пословних банака, што знатно усложњава процедуру и поскупљује ова средства за крајње кориснике. У државама ЕУ овај вид финансирања чини знатан део понуде за микро и мала предузећа, а такође велика средства за овај инструмент издвајају се из средстава ЕУ нпр. преко структурних и кохезионих фондова у оквиру програма Заједничка акција за подршку институцијама за микрофинансирање у Европи (ЈАСМИНЕ).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Републици Србији недовољно су развијени и други алтернативни облици финансирања, попут лизинга и факторинга.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За стабилан развој предузетништва у наредном периоду, од кључног значаја је обезбедити широк спектар различитих финансијских инструмената, који ће омогућити МСПП приступ капиталу, на начин и под условима, који одговарају фази развојног циклуса у којој се предузеће налази. </w:t>
      </w:r>
    </w:p>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1: Унапређење квалитета понуде банкарског сектора за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Извештају о пословању Светске банке за 2015. годину (Доинг Бусинесс 2015) Република Србија пала је са 45. на 52. место у области добијања кредита у односу на претходну годину.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Лоша усклађеност производа и услуга са потребама МСПП утиче на слабу потражњу за финансијским средствима. С друге стране, висок проценат кредита са проблемима у отплати и слабости извршног поступка за наплату средстава обезбеђења неки су од разлога за слаб интерес банака да финансирају МСПП. На основу извештаја "Финансирање МСП и предузетника за 2013. годину" (Финанцинг СМЕс анд Ентрепренеурс 2013: Ан ОЕЦД Сцоребоард) ОЕЦД, учешће кредита МСП у укупним кредитима у 2011. години износило је свега 28,9%. Истовремено, каматне стопе за кредите за МСП биле су у просеку за 4% више од каматних стопа за кредите за велика предузећа.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циљу превазилажења ограничења која утичу на слабу понуду кредита банкарског сектора, активности ће бити усмерене на подршку за ефикасније спровођење извршног поступка и стечајног законодавства кроз јачање људских капацитета и успостављање струке проценитеља и на потребна унапређења у областима вансудског извршења на заложним стварима и коришћења хипотеке другог и трећег реда.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Приоритетне мере обухваћене овом димензијом Стратегије су: </w:t>
      </w:r>
    </w:p>
    <w:tbl>
      <w:tblPr>
        <w:tblW w:w="9920"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9421"/>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9421" w:type="dxa"/>
            <w:hideMark/>
          </w:tcPr>
          <w:p w:rsidR="00AF22EC" w:rsidRPr="00AF22EC" w:rsidRDefault="00AF22EC" w:rsidP="00AF22EC">
            <w:pPr>
              <w:spacing w:before="100" w:beforeAutospacing="1" w:after="100" w:afterAutospacing="1" w:line="240" w:lineRule="auto"/>
              <w:ind w:right="1312"/>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извршног поступака;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9421" w:type="dxa"/>
            <w:hideMark/>
          </w:tcPr>
          <w:p w:rsidR="00AF22EC" w:rsidRPr="00AF22EC" w:rsidRDefault="00AF22EC" w:rsidP="00AF22EC">
            <w:pPr>
              <w:spacing w:before="100" w:beforeAutospacing="1" w:after="100" w:afterAutospacing="1" w:line="240" w:lineRule="auto"/>
              <w:ind w:right="1312"/>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Реформа прописа који уређују област заложног права;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9421" w:type="dxa"/>
            <w:hideMark/>
          </w:tcPr>
          <w:p w:rsidR="00AF22EC" w:rsidRPr="00AF22EC" w:rsidRDefault="00AF22EC" w:rsidP="00AF22EC">
            <w:pPr>
              <w:spacing w:before="100" w:beforeAutospacing="1" w:after="100" w:afterAutospacing="1" w:line="240" w:lineRule="auto"/>
              <w:ind w:right="1312"/>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Развити подстицајне мере и механизме како би банкарски сектор повећао кредитирање МСПП;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w:t>
            </w:r>
          </w:p>
        </w:tc>
        <w:tc>
          <w:tcPr>
            <w:tcW w:w="9421" w:type="dxa"/>
            <w:hideMark/>
          </w:tcPr>
          <w:p w:rsidR="00AF22EC" w:rsidRPr="00AF22EC" w:rsidRDefault="00AF22EC" w:rsidP="00AF22EC">
            <w:pPr>
              <w:spacing w:before="100" w:beforeAutospacing="1" w:after="100" w:afterAutospacing="1" w:line="240" w:lineRule="auto"/>
              <w:ind w:right="1312"/>
              <w:rPr>
                <w:rFonts w:ascii="Arial" w:eastAsia="Times New Roman" w:hAnsi="Arial" w:cs="Arial"/>
                <w:sz w:val="26"/>
                <w:szCs w:val="26"/>
                <w:lang w:eastAsia="sr-Latn-RS"/>
              </w:rPr>
            </w:pPr>
            <w:r w:rsidRPr="00AF22EC">
              <w:rPr>
                <w:rFonts w:ascii="Arial" w:eastAsia="Times New Roman" w:hAnsi="Arial" w:cs="Arial"/>
                <w:sz w:val="26"/>
                <w:szCs w:val="26"/>
                <w:lang w:eastAsia="sr-Latn-RS"/>
              </w:rPr>
              <w:t>Оснаживање специјализованих професија у циљу добијања веродостојних финансијских података у процесу одобравања кредита;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M5 </w:t>
            </w:r>
          </w:p>
        </w:tc>
        <w:tc>
          <w:tcPr>
            <w:tcW w:w="9421" w:type="dxa"/>
            <w:hideMark/>
          </w:tcPr>
          <w:p w:rsidR="00AF22EC" w:rsidRPr="00AF22EC" w:rsidRDefault="00AF22EC" w:rsidP="00AF22EC">
            <w:pPr>
              <w:spacing w:before="100" w:beforeAutospacing="1" w:after="100" w:afterAutospacing="1" w:line="240" w:lineRule="auto"/>
              <w:ind w:right="1312"/>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Побољшање праћења стања финансирања МСПП.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2: Развој нових финансијских инструмената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Упркос неповољној понуди кредита пословних банака, гаранцијске шеме и други алтернативни облици финансирања тек су почели да се развијају у Републици Србији. Поред првих улагања фондова предузетног капитала и почетних активности СБАН, развој тржишта улагања у власнички капитал и мезанин финансирања је тек у повоју. Република Србија је у 2014. години заузела 79. место од укупно 118 рангираних земаља по Индексу привлачности за предузетни капитал и улагања у приватне деонице предузећа (Тхе Вентуре Цапитал анд Привате Equity Country Аттрацтивенесс Index 2014 Аннуал).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Не постоји правни оквир за рад микрофинансијских институција, а обим трансакција послова лизинга и факторинга је на ниском нивоу.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Програма ЕУ за конкурентност предузећа и малих и средњих предузећа (у даљем тексту: ЦОСМЕ) и Програма Хоризонт 2020 (у даљем тексту: Хоризон 2020), постоје посебни финансијски инструменти у области кредитних гаранција и улагања на бази капитала, које могу да користе и финансијске институције из Републике Србије, како би својим корисницима понудиле боље услове финансирања.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Поред тога, у оквиру Програма за развој предузећа са подручја Западног Балкана (WB ЕДИФ), који је намењен МСПП у региону за финансирање иновативних пословних пројеката, Републици Србији су на располагању три инструмента: Фонд за раст предузећа (ЕНЕФ) кроз који је могуће обезбедити улагања у капитал брзорастућих предузећа, Фонд за иновативна предузећа (ЕНИФ) кроз који је могуће обезбедити улагање у предузетни капитал за новооснована иновативна предузећа и гаранцијска шема коју могу да користе банке.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Како би се смањиле тешкоће са којима се МСПП сусрећу у погледу приступа кредитима због недостатка средстава обезбеђења или увећаног ризика финансирања, потребно је наставити напоре на решавању проблема средстава обезбеђења кроз доношење законске регулативе за </w:t>
      </w:r>
      <w:r w:rsidRPr="00AF22EC">
        <w:rPr>
          <w:rFonts w:ascii="Arial" w:eastAsia="Times New Roman" w:hAnsi="Arial" w:cs="Arial"/>
          <w:color w:val="000000"/>
          <w:sz w:val="26"/>
          <w:szCs w:val="26"/>
          <w:lang w:eastAsia="sr-Latn-RS"/>
        </w:rPr>
        <w:lastRenderedPageBreak/>
        <w:t>оснивање и функционисање националних, локалних и узајамних шема кредитних гаранција и развој националне гаранцијске шеме.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циљу развоја окружења за улагање предузетног капитала, улагање у власнички капитал, мезанин финансирање и улагања пословних анђела у МСПП потребно је обезбедити одговарајући законодавни оквир, установити базу предузетничких пројеката погодних за улагање на основу капитала и основати фонд за заједничко улагање са приватним фондовима у иновативна предузећа. Потребно је повећати коришћење средстава из програма ЦОСМЕ и Хоризон 2020 и Програма за развој предузећа и иновације Западног Балкана (WB ЕДИФ) који су на располагању Републици Србији.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 обзиром да тренутно у Републици Србији не постоји правни оквир за реализацију микро-финансијске подршке, активности микрофинансијског сектора се реализују путем гарантно депозитних шема тако да микрофинансијски сектор даје гарантне депозите банкама. На овај начин приступ средствима за микропредузећа и предузетнике је сложенији и скупљи. Зато је потребно успоставити регулаторни оквир за оснивање и рад небанкарских недепозитних кредитних институција, којим би се утврдио поступак лиценцирања и надзора за све врсте специјализованих кредитних установа које не примају депозите грађана.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Рад друштава за лизинг и факторинг уређен је законом, али је са циљем повећања обима трансакција, потребно уклонити регулаторна ограничења са којима се сусрећу и приближити ове изворе финансирања МСПП.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9495"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8996"/>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8996"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нових модела финансирања МСПП;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8996"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система издавања кредитних гаранција;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8996"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Стварање услова за улагање предузетног капитала, улагање у власнички капитал, мезанин финансирање и улагања пословних анђела у МСП;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w:t>
            </w:r>
          </w:p>
        </w:tc>
        <w:tc>
          <w:tcPr>
            <w:tcW w:w="8996"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Уклањање административних препрека и побољшање регулаторног окружења за успостављање микро-финансијске подршке;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M5 </w:t>
            </w:r>
          </w:p>
        </w:tc>
        <w:tc>
          <w:tcPr>
            <w:tcW w:w="8996"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Унапредити услове за коришћење лизинга и факторинга од стране МСПП.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3: Унапређење способности МСПП за приступ различитим изворима финансирања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Више од половине предузећа у Републици Србији користи сопствена средства као најзначајнији извор финансирања. За већину предузећа банкарски кредити су једини спољни извори финансирања. Међутим, </w:t>
      </w:r>
      <w:r w:rsidRPr="00AF22EC">
        <w:rPr>
          <w:rFonts w:ascii="Arial" w:eastAsia="Times New Roman" w:hAnsi="Arial" w:cs="Arial"/>
          <w:color w:val="000000"/>
          <w:sz w:val="26"/>
          <w:szCs w:val="26"/>
          <w:lang w:eastAsia="sr-Latn-RS"/>
        </w:rPr>
        <w:lastRenderedPageBreak/>
        <w:t>МСПП се суочавају са високом ценом кредита, као и недостатком дугорочних извора финансирања.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Део проблема је и на страни тражње, с обзиром на још увек неадекватан ниво знања и капацитета у области финансијског управљања у МСПП у Републици Србији, али и с обзиром на објективне проблеме због недостатка тражених средстава обезбеђења.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Потребно је унапредити прикупљање и објављивање информација о финансирању МСПП и пружити подршку МСПП да побољшају информисаност, техничке и административне капацитете како би лакше обезбедили финансирање и оснажили своју преговарачку позицију у односу на финансијске институције. Мере ће бити усмерене и на то да се државна подршка финансирању МСПП учини ефикаснијом.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Потребно је спровести дугорочне мере за подизање свести и припреме предузетника, пословних људи, финансијских посредника и саветника за веће коришћење алтернативних извора финансирања, тако што ће се интензивирати обука у области инвестиционе спремности за предузећа и упознавање са карактеристикама улагања на бази капитала, организовати сусрете потенцијалних инвеститора и МСПП, побољшати обавештеност о различитим расположивим изворима финансирања и њиховим карактеристикама и подстаћи финансијски посредници да користе финансијске инструменте расположиве кроз програме ЕУ (ЦОСМЕ, WB ЕДИФ, Хоризон 2020).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11051"/>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информисања МСПП о расположивим изворима финансирања;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знања и вештина представника МСПП у области финансирања;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Подизање свести код предузетника и свих других заинтересованих страна о расположивости и карактеристикама небанкарских финансијских инструмената. </w:t>
            </w:r>
          </w:p>
        </w:tc>
      </w:tr>
    </w:tbl>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14" w:name="str_14"/>
      <w:bookmarkEnd w:id="14"/>
      <w:r w:rsidRPr="00AF22EC">
        <w:rPr>
          <w:rFonts w:ascii="Arial" w:eastAsia="Times New Roman" w:hAnsi="Arial" w:cs="Arial"/>
          <w:b/>
          <w:bCs/>
          <w:i/>
          <w:iCs/>
          <w:color w:val="000000"/>
          <w:sz w:val="29"/>
          <w:szCs w:val="29"/>
          <w:lang w:eastAsia="sr-Latn-RS"/>
        </w:rPr>
        <w:t>3. СТУБ 3: Континуирани развој људских ресурса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Један од главних предуслова за развој конкурентне и јаке привреде је радна снага која је довољно стручна, способна и вешта да одговори на изазове и промене у окружењу. За успешне реформе у овој области неопходно је прилагођавање стратешких докумената и законодавне регулативу у области образовања. </w:t>
      </w:r>
    </w:p>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1: Унапређење квалитета радне снаге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Расположивост вештина и знања на тржишту рада које одговарају потребама привреде представља предуслов за привредни раст, раст запослености и социјалне инклузије. Технолошки напредак и структурно </w:t>
      </w:r>
      <w:r w:rsidRPr="00AF22EC">
        <w:rPr>
          <w:rFonts w:ascii="Arial" w:eastAsia="Times New Roman" w:hAnsi="Arial" w:cs="Arial"/>
          <w:color w:val="000000"/>
          <w:sz w:val="26"/>
          <w:szCs w:val="26"/>
          <w:lang w:eastAsia="sr-Latn-RS"/>
        </w:rPr>
        <w:lastRenderedPageBreak/>
        <w:t>прилагођавање привреде захтева увођење нових образовних профила, који раније нису постојали у образовном систему Републике Србије, али и стално унапређење знања, вештина и ставова у складу са потребама савремене привреде која своју конкурентност заснива на знању. У циљу стварања добрих темеља за успешну припрему младих генерација, посебну пажњу треба посветити развоју осам кључних компетенција (знања, вештина и ставова), које је препознала ЕУ, а које обухватају способност комуникације на матерњем и страном језику, дигиталну писменост, аналитичке вештине, знање како се учи, друштвене и грађанске вештине, осећај за иницијативу и предузетништво и културну освешћеност.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Поред високе стопе незапослености, у Републици Србији и даље постоји несразмера између понуде и тражње за радном снагом. Статистика показује да ученици и студенти имају веома низак ниво применљивог знања, па се тако према резултатима Програма за међународну процену постигнућа ученика (ПИСА теста) у 2012. години, који представља међународно тестирање ОЕЦД о способностима и знањима петнаестогодишњака у области математике, науке и читања, Република Србија налази испод просека у поменутој области. Такође, према најновијем извештају Светског економског форума, Република Србија је рангирана веома ниско по квалитету образовног система (106. од 144 места) и доступности тренинг услуга (106. од 144 места).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Како би се ускладиле понуда и тражња за радном снагом и смањила стопа незапослености у земљи, потребно је унапредити механизам праћења и предвиђања потреба привреде и усклађивања мрежа стручних школа, образовних профила, студијских програма и уписне политике за високошколске студије у складу са њима, што више укључити радну праксу и практичан рад у наставне процесе и укључити послодавце у процес припреме образовних програма.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Кроз даљи развој система кратких обука и програма преквалификације и доквалификације незапослених лица потребно је помоћи незапосленим лицима да се прилагоде потребама тржишта рада.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9778"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17"/>
        <w:gridCol w:w="9261"/>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9261"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механизма редовног праћења и предвиђања потреба МСПП за радном снагом;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9261"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Усклађивање формалног образовног система са потребама тржишта рада;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9261"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система неформалног образовања за унапређење знања и вештина.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2: Подршка развоју образовања за предузетништво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ЕУ је препознала смисао за иницијативу и предузетништво као једну од осам кључних компетенција за доживотно учење. Ова кључна компетенција односи се на развој способности да се идеја претвори у дело и подразумева развој ставова (иновативност, преузимање ризика, креативност), знања (планирање и управљање предузећем) и вештина (комуникација, способност за рад у тиму итд.). Увођењем образовања за предузетништво у образовни систем земље повећава се број младих који се током живота одлучују да покрену своје пословање али се, истовремено, код свих полазника развијају особине корисне за будуће послодавце и њих саме, које повећавају њихову конкурентност.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Образовање за предузетништво није интегрисано у систем формалног образовања у Републици Србији, од основног, преко средњег, до високог нивоа. Међутим, у великом броју средњих школа и на појединим факултетима, покренути су пројекти ученичког предузетништва, често уз подршку донатора. Међу најзначајнијим пројектима и иницијативама које се тренутно спроводе у Републици Србији издвајају се: "Реформа средњег стручног образовања и усавршавања у Србији", "Достигнућа младих"- пројекат ученичког предузетништва, програм "Омладинско предузетништво" и пројекат "Центар југоисточне Европе за предузетничко образовање".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Неопходно је да се предузетничко образовање уведе кроз садржаје наставних предмета у оквиру основног, као и кроз посебне предмете у оквиру средњег и високог образовања.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Један од главних предуслова за системско увођење предузетничког образовања у образовни систем земље је образовање и оспособљавање наставника. Наставници имају кључну улогу у развоју предузетничког духа код младих, јер они не треба само да им пренесу класична знања у овој области већ да кроз практичан рад развију код ученика способност да размишљају и раде на креативан и иновативан начин.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 поред првих пројеката и иницијатива кроз које се обучавају наставници у овој области, у Републици Србији постоји недостатак адекватног наставног кадра који би се укључио у процес развоја предузетничког образовања па је потребно наставити са обукама за постојеће наставнике и увести садржаје у вези са предузетничким образовањем на факултете који образују наставнички кадар.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9353"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8854"/>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8854"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предузетничког образовања у све нивое образовног система Републике Србије;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8854"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Образовање и обука наставника за предузетништво. </w:t>
            </w:r>
          </w:p>
        </w:tc>
      </w:tr>
    </w:tbl>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15" w:name="str_15"/>
      <w:bookmarkEnd w:id="15"/>
      <w:r w:rsidRPr="00AF22EC">
        <w:rPr>
          <w:rFonts w:ascii="Arial" w:eastAsia="Times New Roman" w:hAnsi="Arial" w:cs="Arial"/>
          <w:b/>
          <w:bCs/>
          <w:i/>
          <w:iCs/>
          <w:color w:val="000000"/>
          <w:sz w:val="29"/>
          <w:szCs w:val="29"/>
          <w:lang w:eastAsia="sr-Latn-RS"/>
        </w:rPr>
        <w:lastRenderedPageBreak/>
        <w:t>4. СТУБ 4: Јачање одрживости и конкурентности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Према извештају Светског економског форума за 2014. годину Република Србија је рангирана на 94. позицији на листи која обухвата 144 земље са забележеном вредношћу Индекса глобалне конкурентности (у даљем тексту: ИГК) од 3,90 (теоријска вредност ИГК креће се у интервалу од 1 до 7). У односу на претходну годину вредност ИГК за Републику Србију је повећана за 0,13, што је довело до позитивног померања ранга за седам позиција (са 101. на 94. место на листи). "Имајући у виду комплексну структуру ИГК, конкурентност коју репрезентује могли бисмо грубо дефинисати као скуп институција, политика и чинилаца који одређују степен продуктивности земље. Нивоом конкурентности изражава се капацитет националне привреде да у средњорочном периоду генерише одрживи економски раст на постојећем нивоу развијености.".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Конкурентност сваке земље је одређена продуктивношћу предузећа која у њој послују, те је повећање продуктивности и унапређење квалитета производа и услуга ултимативни циљ за јачање одрживости домаће привреде.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Институционалну инфраструктуру за подршку развоја МСПП у Републици Србији чини мрежа јавних институција и агенција - НАРР, Фонд за развој, СИЕПА, АОФИ, Национална служба за запошљавање и др. Од 2009. године у Републици Србији је активна и Европска предузетничка мрежа, која делује у оквиру конзорцијума предвођеног НАРР. ПКС, са својом мрежом, такође је активна у пружању подршке за развој овог сектора. Активности наведених институција и агенција нису у сваком моменту деловале координирано, нити су давале адекватан одговор на променљиве потребе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За развој МСПП од великог је значаја и развој пословне инфраструктуре и то: пословних инкубатора, индустријских паркова/зона и технолошких паркова.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Пословна инфраструктура се, као важан инструмент развоја конкурентног сектора МСПП, помиње у разним развојним документима, али не постоји стратешки и законски оквир који уређује њен развој. Финансирање изградње и рада пословне инфраструктуре, до сада је углавном било засновано на </w:t>
      </w:r>
      <w:r w:rsidRPr="00AF22EC">
        <w:rPr>
          <w:rFonts w:ascii="Arial" w:eastAsia="Times New Roman" w:hAnsi="Arial" w:cs="Arial"/>
          <w:i/>
          <w:iCs/>
          <w:color w:val="000000"/>
          <w:sz w:val="26"/>
          <w:szCs w:val="26"/>
          <w:lang w:eastAsia="sr-Latn-RS"/>
        </w:rPr>
        <w:t>ад хоц</w:t>
      </w:r>
      <w:r w:rsidRPr="00AF22EC">
        <w:rPr>
          <w:rFonts w:ascii="Arial" w:eastAsia="Times New Roman" w:hAnsi="Arial" w:cs="Arial"/>
          <w:color w:val="000000"/>
          <w:sz w:val="26"/>
          <w:szCs w:val="26"/>
          <w:lang w:eastAsia="sr-Latn-RS"/>
        </w:rPr>
        <w:t> принципу и то из средстава Националног инвестиционог плана, билатералних донација, зајмова и кредита међународних финансијских институција.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Индустријске зоне, паркови и пословни инкубатори представљају важан стуб политике регионалног развоја Републике Србије. Као подршку за идентификацију, формулацију и будуће финансирање јавних општинских инвестиционих пројеката, укључујући и успостављање индустријских зона, </w:t>
      </w:r>
      <w:r w:rsidRPr="00AF22EC">
        <w:rPr>
          <w:rFonts w:ascii="Arial" w:eastAsia="Times New Roman" w:hAnsi="Arial" w:cs="Arial"/>
          <w:color w:val="000000"/>
          <w:sz w:val="26"/>
          <w:szCs w:val="26"/>
          <w:lang w:eastAsia="sr-Latn-RS"/>
        </w:rPr>
        <w:lastRenderedPageBreak/>
        <w:t>технолошких и индустријских паркова и пословних инкубатора, Стална конференција градова и општина (у даљем тексту: СКГО) је успоставила и референтну базу ових пројеката - СЛАП (у даљем тексту: СЛАП).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Закон о иновационој делатности ("Службени гласник РС", бр. 110/05, 18/10 и 55/13), с друге стране, препознаје пословно-технолошке инкубаторе и научно-технолошке паркове као организације за пружање инфраструктурне подршке иновационој делатности, па се као такви могу уписати у Регистар субјеката иновационе делатности који води Министарство просвете, науке и технолошког развоја.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Стратегијом научног и технолошког развоја Републике Србије за период од 2010. до 2015. године ("Службени гласник РС", број 13/10), предвиђене су инвестиције у инфраструктуру Републике Србије у домену науке и технологије, које се реализују кроз Јединицу за управљање пројектима, па је за те потребе Република Србија обезбедила зајам Европске инвестиционе банке из кога је финансирано неколико пројеката, а међу најважнијим и оснивање четири научно-технолошка парка (Београд, Ниш, Нови Сад и Крагујевац).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Подаци о пословној инфраструктури у Републици Србији нису систематизовани и не постоји јединствени регистар што је узроковано чињеницом да област пословне инфраструктуре није адекватно системски уређена. СИЕПА води базу инвестиционих локација у Републици Србији које су на располагању како домаћим, тако и страним инвеститорима.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оквиру Регистра привредних друштава за инфраструктурну подршку иновационој делатности, који води Министарство просвете, науке и технолошког развоја, регистрована су два научно-технолошка парка и шест пословно-технолошких инкубатора.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ЕУ своју дугорочну конкурентност заснива на знању и иновацијама, а издвајања за истраживање, развој и иновације су велика. У финансијској перспективи од 2007. до 2013. године у Седмом оквирном програму (ФП7) на располагању је било преко 50 милијарди евра за истраживања и развој, док је кроз Оквирни програм за конкурентност и иновативност (ЦИП) било доступно 3,6 милијарди евра. За финансијску перспективу (од 2014. до 2020 године), ЕУ је планирала још већа средства. Кроз програм ЦОСМЕ опредељено је 2,3 милијарде евра, а кроз програм Хоризон 2020 чак 80 милијарди евра.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Иновација је примена новог или значајно побољшаног производа, процеса или услуге или маркетиншке методе или нове организационе методе у пословању, организацији рада или односима предузећа са окружењем.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Иновација је свако технолошко или нетехнолошко унапређење које ствара додату вредност (у даљем тексту: иновација).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Привреду Републике Србије и даље одликује низак степен иновативности. Према резултатима истраживања ЕУ под називом Ранг листа иновативне уније (Инноватион Унион Сцоребоард) за 2014. годину, Република Србија се сврстава у другу групу земаља које представљају умерене иноваторе, али са трендом раста, са иновационим учинком који је испод просека ЕУ, при чему индекс иновативности за Републику Србију износи 0,365. ЕУ просек у 2013. години био је 0,554, док је највећи индекс иновативности остварила Краљевина Шведска и то 0,750.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МСПП у Републици Србији не препознају довољно значај иновација за унапређење пословања и недовољно улажу у њих. Тек свако седмо предузеће спроводи иновативне активности, а свако четрнаесто остварује иновативну сарадњу са другим привредним субјектима или институцијама.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претходном периоду започета је реализација различитих мера усмерених на повезивање науке и привреде, попут активности на реорганизацији научно-технолошких института, оснивања центара за трансфер технологија и мреже технолошких брокера. Оснивањем и почетком рада Фонда за иновациону делатност значајно је унапређена подршка високотехнолошким младим привредним друштвима. Настављена је и реализација програма за спровођење заједничких иновативних пројеката привреде и представника научно-истраживачких организација, као и такмичења и других активности које промовишу иновације. Подршку јачању иновационог система и промоцији иновација у претходном периоду пружили су и пројекти финансирани из средстава ИПА и других донатора, а кроз учешће Републике Србије у програмима ЕУ у овој области створене су веће могућности за финансирање иновативних активности.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Међутим, једна од највећих слабости на пољу развоја иновативности остају слабе везе између научно-истраживачких институција и МСПП. МСПП на научно-истраживачке институције не гледају као на потенцијалне партнере, док истраживачи у МСПП не препознају своју циљну групу и сматрају да у привреди не постоји значајна тражња за новим технолошким решењима. Зато је, уз повећање улагања у науку, важно успоставити везе и сарадњу привреде и научно-истраживачких институција, усмерити научно-истраживачке институције да свој рад у што већој мери прилагоде потребама привреде и подићи свест привредника о значају иновација за унапређење њихове конкурентности. </w:t>
      </w:r>
    </w:p>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1: Унапређење ефикасности институционалне подршке пословању и развоју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Недовољна координација активности институција које пружају подршку пословању и развоју МСПП у Републици Србији, директно је утицала на </w:t>
      </w:r>
      <w:r w:rsidRPr="00AF22EC">
        <w:rPr>
          <w:rFonts w:ascii="Arial" w:eastAsia="Times New Roman" w:hAnsi="Arial" w:cs="Arial"/>
          <w:color w:val="000000"/>
          <w:sz w:val="26"/>
          <w:szCs w:val="26"/>
          <w:lang w:eastAsia="sr-Latn-RS"/>
        </w:rPr>
        <w:lastRenderedPageBreak/>
        <w:t>ефикасност њиховог деловања у претходном периоду. У наредном периоду је изузетно важно дефинисати активности наведених институција у складу са потребама МСПП, које ће бити координисане и снажно вођене и контролисане од стране министарства надлежног за послове привреде. Ове институције морају да обезбеде услове за развој постојећих и формирање нових МСПП, да подрже повећање продуктивности и унапређење квалитета производа и услуга, да омогуће увођење нових технологија, знања и метода савременог управљања, односно да обезбеде јединствену и ефикасну промоцију и продају производа из Републике Србије.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Републици Србији је присутан став да стварање, раст и развој малих предузећа више зависи од спољних фактора него од знања, које се у развијеним земљама истиче као приоритет, тако да се не користе у довољној мери могућности за додатним усавршавањем.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Паралелно са процесом развоја формалног предузетничког образовања, неопходно је спроводити и процес развоја неформалног образовања и пословних услуга намењених потенцијалним и постојећим предузетницима, запосленим и менаџерима компанија, којима су потребна додатна знања и вештине у пословању. Сталне промене и изазови у пословном окружењу иницирају потребу за сталним усавршавањем и новим знањима.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Републици Србији тренутно се спроводе одређени програми обука како за оне који желе да започну сопствени посао, тако и за постојеће предузетнике, запослене и менаџере предузећа. Ове обуке реализују: приватни сектор, Национална служба за запошљавање, НАРР са мрежом АРРА, различита удружења и ПКС.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Потребно је даље унапредити квалитет, доступности и обим обука и пословних услуга у Републици Србији, развити специјализоване обуке за циљне групе као што су млади и жене и пружити финансијску подршку за суфинанирање похађања обука и коришћење пословних услуга ради унапређења конкурентности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9636"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9137"/>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9137"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и/или реформа начина рада и капацитета постојећих институција за организовано пружање услуга за потребе МСПП;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9137"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Праћење реализације институционалне подршке и унапређење система надзора над радом институција у надлежности Министарства привреде;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9137"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Даљи развој пословних услуга за МСПП;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w:t>
            </w:r>
          </w:p>
        </w:tc>
        <w:tc>
          <w:tcPr>
            <w:tcW w:w="9137"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Даљи развој обука за потенцијалне и постојеће предузетнике.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lastRenderedPageBreak/>
        <w:t>Димензија 2: Оптимизација и унапређење степена искоришћености постојеће и изградња нове пословне инфраструктуре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Имајући у виду значај развоја пословне инфраструктуре за регионални развој, министарство надлежно за послове регионалног развоја израдило је, у претходном периоду, предлог пројектног решења за Катастар пословне инфраструктуре у Републици Србији у сарадњи са Републичким геодетским заводом. Истовремено спроведена је анкета о стању пословне инфраструктуре у јединицама локалне самоуправе чији резултати указују на потребу да се у наредном периоду успостави системски приступ у даљем уређењу ове материје и развоју пословне инфраструктуре са јасно идентификованим критеријумима за одређивање приоритета. Потребно је увести праћење рада и евалуацију ефеката које развој пословне инфраструктуре има на привредни раст, привлачење инвестиција, иновације, повећање броја МСПП и равномеран регионални развој. Такође, потребно је развити моделе за оснивање и рад пословне инфраструктуре засноване на јавно - приватном партнерству.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Један од неопходних елемената развоја привреде засноване на знању је развој и јачање пословне иновационе инфраструктуре. У том смислу, научно-технолошки паркови и технолошки инкубатори представљају важне моделе подстицања развоја високоиновативних МСПП, трансфера технологије и знања из академских у привредне оквире и комерцијализације резултата научних истраживања. Развој оваквих облика пословне инфраструктуре је посебно важан имајући у виду да се у Извештају о глобалној конкурентности Светског економског форума за период од 2014. до 2015. године, Република Србија налази на 69. месту када је реч о квалитету научно истраживачких институција, али и на 125. месту када су у питању улагања приватног сектора у истраживање и развој.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Поред пословно-технолошких инкубатора и научно-технолошких паркова који су намењени технолошким и иновативним МСПП и могу успешно функционисати само у близини универзитетских градова са развијеним научно-истраживачким капацитетима, за потребе привлачења инвестиција и локалног економског развоја у мањим срединама потребно је развити друге облике пословне инфраструктуре.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За привлачење нових инвестиција неопходно је обезбедити уређено и инфраструктурно опремљено земљиште у индустријским зонама. За подстицање предузетништва у локалним срединама користан инструмент могу бити пословни инкубатори јасно профилисани и усмерени на циљне групе од посебног значаја за ту средину (млади, повратници у родна места, креативне индустрије, сектор информационих технологија итд.).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Приоритетне мере обухваћене овом димензијом Стратегије су: </w:t>
      </w:r>
    </w:p>
    <w:tbl>
      <w:tblPr>
        <w:tblW w:w="9069"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02"/>
        <w:gridCol w:w="8567"/>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8567"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Системско уређивање развоја пословне инфраструктуре;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8567"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пословне инфраструктуре намењене иновативним МСПП;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8567"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пословне инфраструктуре за потребе регионалног и локалног економског развоја.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3: Јачање иновативности у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Слаб ниво иновативности предузећа у Републици Србији огледа се у малом обиму технолошких иновација и слабој сарадњи науке и привреде. Нетехнолошке иновације, које се односе на унапређење организације и маркетинга, напредно коришћење информативно-комуникационих технологија и сл, такође су у недовољној мери заступљене у предузећима. Високоиновативна предузећа, попут новооснованих високотехнолошких предузећа у области информационо-комуникационе технологије и креативних индустрија, недовољно су подржана. Креативне индустрије представљају индустрије засноване на индивидуалној креативности, вештинама и таленту које поседују потенцијал за акумулацију прихода (добити, богатства) и (отварање) нових радних места путем стварања и експлоатације различитих облика интелектуалне својине (у даљем тексту: креативне индустрије).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Посебне димензије иновативности, гледано у ширем контексту, односе се на подршку развоју еко-иновације и зелене економије односно претварање изазова заштите животне средине у пословну шансу. Унапређење енергетске ефикасности и ефикасности кооришћења ресурса, као саставни део бриге о животној средини, постао је важан захтев савременог пословања.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наредном периоду, веома је важно изградити и ојачати капацитете националног иновационог система у целини који ће на ефикасан начин омогућити повезивање науке и привреде и пружити подршку високоиновативним МСПП, омогућити веће коришћење средстава из програма ЕУ расположивих за ове намене и подстаћи предузећа да иновативно размишљају. Такође, потребно је пружити подршку за еко-иновације, унапређење енергетске ефикасности и ефикасности коришћења ресурса у МСПП и развој иновативних предузетничких подухвата у области креативних индустрија.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10203"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9704"/>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9704" w:type="dxa"/>
            <w:hideMark/>
          </w:tcPr>
          <w:p w:rsidR="00AF22EC" w:rsidRPr="00AF22EC" w:rsidRDefault="00AF22EC" w:rsidP="00AF22EC">
            <w:pPr>
              <w:spacing w:before="100" w:beforeAutospacing="1" w:after="100" w:afterAutospacing="1" w:line="240" w:lineRule="auto"/>
              <w:ind w:right="1595"/>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функционалности националног иновационог система;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M2 </w:t>
            </w:r>
          </w:p>
        </w:tc>
        <w:tc>
          <w:tcPr>
            <w:tcW w:w="9704" w:type="dxa"/>
            <w:hideMark/>
          </w:tcPr>
          <w:p w:rsidR="00AF22EC" w:rsidRPr="00AF22EC" w:rsidRDefault="00AF22EC" w:rsidP="00AF22EC">
            <w:pPr>
              <w:spacing w:before="100" w:beforeAutospacing="1" w:after="100" w:afterAutospacing="1" w:line="240" w:lineRule="auto"/>
              <w:ind w:right="1595"/>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Унапредити подршку за високоиновативна МСПП, еко-иновације, унапређење енергетске ефикасности и ефикасног коришћења ресурса;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9704"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Пружити подршку за бољу абсорпцију и коришћење средстава из програма Хоризон 2020 за истраживање, развој и иновације;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w:t>
            </w:r>
          </w:p>
        </w:tc>
        <w:tc>
          <w:tcPr>
            <w:tcW w:w="9704"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Јачати свест МСПП о значају иновативности за њихову конкурентност.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4: Стимулисање пословног удруживања и креирања ланаца вредности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свим развијеним привредама неопходан услов раста и развоја МСПП је постојање великих предузећа, која укључују МСПП у своје ланце вредности и тиме им обезбеђују сигурно тржиште за њихове производе. Подаци Извештаја о глобалној конкурентности Светског економског форума за период од 2014. до 2015. године показују да простора за унапређење има још много, јер се према показатељу квалитета домаћих добављача Република Србија налази на 98. месту од укупно 144 анализираних земаља.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Узимајући у обзир све проблеме домаће прерађивачке индустрије, потребно је подстицати улагања у нове технологије, процесе и услуге, као и улагања у развој нових производа са већом додатом вредношћу, који задовољавају европске и међународне стандарде, с циљем јачања конкурентне позиције. Анализом структуре увоза Републике Србије, може се запазити да се велики број увозних производа већ производи у Републици Србији или да постоје потенцијали за њихову производњу. Циљ подстицајних мера је повећање конкурентности извозних предузећа и њихових производа са већим учешћем домаћег репроматеријала и компоненти у производу, уз уважавање економске исплативости и неугрожавајући тржишну конкуренцију, као и проширење производне структуре домаћих произвођача.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Потребно је уложити напоре да велика предузећа, извозници, успоставе сарадњу са домаћим МСПП, којима са друге стране треба пружити подршку у разумевању захтева великих предузећа и повећању видљивости на тржишту као потенцијалним добављачима. Осим тога, неопходно је и подстицање удруживања МСПП, јер они за самосталан наступ на великим тржиштима често немају довољно сопствених капацитета. Подстицање развоја кластера, као и сарадња између њих је један од начина укрупњавања ефеката пословања МСПП и продужавања ланаца снабдевања, а тиме и повећања броја трансакција између МСПП и преливања ефеката развоја укупне привреде на МСПП.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Искуства развијених економија, указују да је развој франшизинга један од ефикасних инструмената подстицаја развоја МСПП. МСПП сектор у Републици Србији није препознао франшизинг као један од успешнијих </w:t>
      </w:r>
      <w:r w:rsidRPr="00AF22EC">
        <w:rPr>
          <w:rFonts w:ascii="Arial" w:eastAsia="Times New Roman" w:hAnsi="Arial" w:cs="Arial"/>
          <w:color w:val="000000"/>
          <w:sz w:val="26"/>
          <w:szCs w:val="26"/>
          <w:lang w:eastAsia="sr-Latn-RS"/>
        </w:rPr>
        <w:lastRenderedPageBreak/>
        <w:t>модела самозапошљавања и започињања сопственог посла. У циљу модернизације пословања и подизања конкурентности привреде потребно је предузети мере на подизању свести о значају франшизинга и олакшати приступ МСПП даваоцима франшизе.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41"/>
        <w:gridCol w:w="11009"/>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Подршка заједничком наступу на тржишту;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Креирање нових ланаца вредности и повећање степена финализације производа. </w:t>
            </w:r>
          </w:p>
        </w:tc>
      </w:tr>
    </w:tbl>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16" w:name="str_16"/>
      <w:bookmarkEnd w:id="16"/>
      <w:r w:rsidRPr="00AF22EC">
        <w:rPr>
          <w:rFonts w:ascii="Arial" w:eastAsia="Times New Roman" w:hAnsi="Arial" w:cs="Arial"/>
          <w:b/>
          <w:bCs/>
          <w:i/>
          <w:iCs/>
          <w:color w:val="000000"/>
          <w:sz w:val="29"/>
          <w:szCs w:val="29"/>
          <w:lang w:eastAsia="sr-Latn-RS"/>
        </w:rPr>
        <w:t>5. СТУБ 5: Унапређење приступа новим тржиштима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Овим стубом обухваћене су мере које се односе на повећање броја извозника, обима извоза и квалитета извозних производа МСПП и подршку приликом идентификације потенцијалних тржишта за пласирање производа/услуга, излазак и опстанак на истим.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Повећање извоза има вишеструки значај за домаћу привреду. Раст извоза последично доводи до повећања продуктивности, привредног раста и националног дохотка и смањивања незапослености. У том контексту, раст извоза и излазак предузећа из Републике Србије на нова тржишта представља један од приоритета Владе у наредном периоду.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Извоз је нарочито важан ако се има у виду величина домаћег тржишта и куповна моћ, па домаћа тражња не може да буде снажан покретач развоја домаћих предузећа.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Мерама у оквиру овог стуба неопходно је остварити три паралелна циља. Прво, повећати обим извоза, друго, унапредити структуру извоза и треће, повећати учешће МСПП у снабдевању великих домаћих привредних система тј. заменити њихов увоз сировина и репроматеријала.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Спољнотрговински биланс Републике Србије је и даље неповољан, али посматрано у периоду од 2008. до 2013. године, дефицит је значајно смањен, као што може да се види у Табели 8 - Спољнотрговински биланс Републике Србије (у милионима динара).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Смањење дефицита у 2013. години у односу на 2008. годину је значајно и поред блажег скока у 2011. години. Покривеност увоза извозом, такође, расте, и на крају 2013. године износила је 71,1%. Учешће извоза у БДП износи 44,9%, што сврстава Републику Србију на 55. место од 144 земаља према Извештају о глобалној конкурентности Светског економског форума за период од 2014. до 2015 године.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Табела 8 - Спољнотрговински биланс Републике Србије (у милионима динара), Извор: Републички завод за статистику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308"/>
        <w:gridCol w:w="1401"/>
        <w:gridCol w:w="1401"/>
        <w:gridCol w:w="1401"/>
        <w:gridCol w:w="1401"/>
        <w:gridCol w:w="1401"/>
        <w:gridCol w:w="1207"/>
      </w:tblGrid>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2013 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Извоз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10974 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8344 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9795 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11780 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11228 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14611 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Увоз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24042 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15807 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16471 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19862 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18929 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20551 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Дефицит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-13069 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-7463 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-6676 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-8082 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-7701 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-5940 </w:t>
            </w:r>
          </w:p>
        </w:tc>
      </w:tr>
      <w:tr w:rsidR="00AF22EC" w:rsidRPr="00AF22EC" w:rsidTr="00AF22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Покривеност увоза </w:t>
            </w:r>
            <w:r w:rsidRPr="00AF22EC">
              <w:rPr>
                <w:rFonts w:ascii="Arial" w:eastAsia="Times New Roman" w:hAnsi="Arial" w:cs="Arial"/>
                <w:sz w:val="26"/>
                <w:szCs w:val="26"/>
                <w:lang w:eastAsia="sr-Latn-RS"/>
              </w:rPr>
              <w:br/>
              <w:t>извозом (%)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45,64%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52,79%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59,47%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59,03%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59,31% </w:t>
            </w:r>
          </w:p>
        </w:tc>
        <w:tc>
          <w:tcPr>
            <w:tcW w:w="0" w:type="auto"/>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71,1% </w:t>
            </w:r>
          </w:p>
        </w:tc>
      </w:tr>
    </w:tbl>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Секторска структура извоза привреде Републике Србије и даље је неповољна уз доминацију производа ниже фазе прераде (сировина и полупроизвода). Према Извештају о глобалној конкурентности Светског економског форума, Република Србија заузима 128. место према ширини ланца вредности, односно степену финализације производа, а према софистицираности производног процеса 133. место од 144 земље.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Према географској структури извоз из Републике Србије је сконцентрисан, највећим делом, на чланице ЕУ (више од половине укупне размене). Најзначајнији спољнотрговински партнери у извозу су: Италија, Савезна Република Немачка, Босна и Херцеговина, Руска Федерација и Црна Гора. Главни спољнотрговински партнери на страни увоза су: Италија, Савезна Република Немачка, Руска Федерација, Народна Република Кина и Мађарска. Највећи дефицит у размени остварује се са Руском Федерацијом, Републиком Казахстаном и Народном Републиком Кином, а највећи суфицит остварујемо са Црном Гором, Републиком Македонијом и Босном и Херцеговином.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Билатерални и мултилатерални трговински споразуми које Република Србија има са ЕУ, потписницама Споразума о слободној трговини у централној Европи (у даљем тексту: ЦЕФТА споразум), Руском Федерацијом, Републиком Турском, земљама чланицама Европског удружења слободне трговине (у даљем тексту: ЕФТА) и другим земљама, представљају значајан потенцијал за српске извознике. Што се тиче Сједињених Америчких Држава (у даљем тексту: САД), на снази је Општи систем преференцијала. Република Србија има и повољне резултате у спољнотрговинској размени са најзначајнијим економијама у развоју као што су: Република Индија (са којом спољнотрговинска размена бележи константан раст од 2006. године), Федеративна Република Бразил (са којим је могуће унапређење сарадње у области хемијских и фармацеутских производа, аутомобилској индустрији и информационо-комуникационим технологијама), као и друге земље Заједнице независних држава.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Поред ниског степена производне специјализације и ресурсно-интензивног извоза, за извоз Републике Србије карактеристично је да преовлађује учешће неколико великих производних система (Фиат Аутомобили Србија, Нафтна индустрија Србије, Хемофарм, Ваљаонице </w:t>
      </w:r>
      <w:r w:rsidRPr="00AF22EC">
        <w:rPr>
          <w:rFonts w:ascii="Arial" w:eastAsia="Times New Roman" w:hAnsi="Arial" w:cs="Arial"/>
          <w:color w:val="000000"/>
          <w:sz w:val="26"/>
          <w:szCs w:val="26"/>
          <w:lang w:eastAsia="sr-Latn-RS"/>
        </w:rPr>
        <w:lastRenderedPageBreak/>
        <w:t>бакра и алуминијума, Горење, Тигар Корпорација). Док су у ЕУ око 25% МСПП извозници, у Републици Србији, тек испод 5% МСПП остварује приходе из извоза.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Присутна је и значајна корелација између извоза и увоза, па су тако највећи извозници уједно и највећи увозници. Ова корелација представља и развојну шансу за домаћа МСПП да се кроз супституцију увоза укључе у ланце добављача великих извозника. </w:t>
      </w:r>
    </w:p>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1: Обезбеђивање континуиране подршке МСПП за излазак на нова тржишта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Без обзира на потенцијал за развој који страна тржишта доносе МСПП, при изласку на та тржишта они се сусрећу са различитим препрекама које, поред финансирања и осигуравања извоза, обухватају недостатак информација о тржиштима и проблеме проналажења потенцијалних купаца и одговарајућих партнера. Поред тога, суочени су и са сложенијим правилима и процедурама спољнотрговинског пословања и изазовима усаглашавања са страним правом и техничким прописима на извозним тржиштима (нпр. обавезујућа правила уговорног права, царинске процедуре, технички прописи и стандарди). МСПП, за разлику од великих компанија, обично не располажу унутрашњим капацитетима (стручним и финансијским) за превазилажење ових препрека. Мере у оквиру ове димензије треба да МСПП извозницима и потенцијалним извозницима обезбеде квалитетну подршку, приближе извозне процедуре и олакшају техничку припрему извоза.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11051"/>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доступности и квалитета расположивих информација о страним (приоритетним) тржиштима;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знања извозника и пружање стручне подршке;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контаката с потенцијалним пословним партнерима.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2: Смањење и превазилажење техничких препрека трговини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Примена захтевних техничких прописа може представљати техничке препреке трговини које отежавају извоз домаћих производа, али треба имати у виду да они често постају обавеза и на домаћем тржишту. Република Србија је последњих година значајно напредовала у преузимању и примени европских прописа и стандарда, а у наредном периоду неопходно је заокружити овај процес. Паралелно с тим, веома је важно, на јасан и разумљив начин, приближити привредницима специфичне захтеве ових техничких прописа који се морају испунити како за стављање производа на домаће тржиште, тако и на међународна </w:t>
      </w:r>
      <w:r w:rsidRPr="00AF22EC">
        <w:rPr>
          <w:rFonts w:ascii="Arial" w:eastAsia="Times New Roman" w:hAnsi="Arial" w:cs="Arial"/>
          <w:color w:val="000000"/>
          <w:sz w:val="26"/>
          <w:szCs w:val="26"/>
          <w:lang w:eastAsia="sr-Latn-RS"/>
        </w:rPr>
        <w:lastRenderedPageBreak/>
        <w:t>тржишта. Истовремено, ради ефикасне примене техничких прописа и стандарда, неопходно је јачати институционални оквир инфраструктуре квалитета (Институт за стандардизацију Србије, Акредитационо тело Србије, Дирекција за мере и драгоцене метале и тела за оцењивање усаглашености) како би се обезбедило ефикасно пружање потребних услуга испитивања, еталонирања, контролисања и сертификације, уз стварање услова да домаће исправе о усаглашености буду признате на иностраним тржиштима.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9069"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8570"/>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85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Усклађивање са техничким прописима и стандардима ЕУ;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85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система инфрастуруктуре квалитета;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85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Подизање свести МСПП о значају усаглашавања производа са захтевима техничких прописа и стандарда;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w:t>
            </w:r>
          </w:p>
        </w:tc>
        <w:tc>
          <w:tcPr>
            <w:tcW w:w="8570"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Обезбеђење подршке за постизање усаглашености са захтевима техничких прописа и стандарда. </w:t>
            </w:r>
          </w:p>
        </w:tc>
      </w:tr>
    </w:tbl>
    <w:p w:rsidR="00AF22EC" w:rsidRPr="00AF22EC" w:rsidRDefault="00AF22EC" w:rsidP="00AF22EC">
      <w:pPr>
        <w:spacing w:before="240" w:after="240" w:line="240" w:lineRule="auto"/>
        <w:jc w:val="center"/>
        <w:rPr>
          <w:rFonts w:ascii="Arial" w:eastAsia="Times New Roman" w:hAnsi="Arial" w:cs="Arial"/>
          <w:b/>
          <w:bCs/>
          <w:i/>
          <w:iCs/>
          <w:color w:val="000000"/>
          <w:sz w:val="29"/>
          <w:szCs w:val="29"/>
          <w:lang w:eastAsia="sr-Latn-RS"/>
        </w:rPr>
      </w:pPr>
      <w:bookmarkStart w:id="17" w:name="str_17"/>
      <w:bookmarkEnd w:id="17"/>
      <w:r w:rsidRPr="00AF22EC">
        <w:rPr>
          <w:rFonts w:ascii="Arial" w:eastAsia="Times New Roman" w:hAnsi="Arial" w:cs="Arial"/>
          <w:b/>
          <w:bCs/>
          <w:i/>
          <w:iCs/>
          <w:color w:val="000000"/>
          <w:sz w:val="29"/>
          <w:szCs w:val="29"/>
          <w:lang w:eastAsia="sr-Latn-RS"/>
        </w:rPr>
        <w:t>6. СТУБ 6: Развој и промоција предузетничког духа и подстицање предузетништва жена, младих и социјалног предузетништва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Жене предузетници чине четвртину укупног броја привредника у Републици Србији, а присутан је и тренд повећања броја жена на челним функцијама предузећа. Ипак, статистички подаци указују на још увек слабо искоришћен економски потенцијал жена. Само 38,1% жена радног узраста (15-64) било је запослено у априлу 2013. године, у односу на 53,6% мушкараца. Међу запосленим женама тек 15,6% обавља самостални посао, док то чини 30,5% запослених мушкараца.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Жене се одлучују за отварање предузећа већином из нужде и суочавају се са бројним потешкоћама код оснивања и вођења пословања. Иако је већина ових тешкоћа заједничка за оба пола, у многим случајевима оне имају посебан утицај на жене предузетнике - условљене су избором сектора, родном дискриминацијом и постојањем стереотипа, недовољно развијеном и нефлексибилном бригом о деци, тешкоћама у усклађивању породичних и пословних обавеза или разликама у односу жена и мушкараца према предузетништву. Жене поседују и мање некретнина регистрованих на своје име, што им отежава добијање кредита услед недостатка средстава обезбеђења.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У Републици Србији не постоји стратегија која се непосредно и искључиво односи на развој предузетништва жена. На значај предузетништва жена јасно се указује у Националној стратегији за побољшање положаја жена и унапређење родне равноправности ("Службени гласник РС", број 15/09), </w:t>
      </w:r>
      <w:r w:rsidRPr="00AF22EC">
        <w:rPr>
          <w:rFonts w:ascii="Arial" w:eastAsia="Times New Roman" w:hAnsi="Arial" w:cs="Arial"/>
          <w:color w:val="000000"/>
          <w:sz w:val="26"/>
          <w:szCs w:val="26"/>
          <w:lang w:eastAsia="sr-Latn-RS"/>
        </w:rPr>
        <w:lastRenderedPageBreak/>
        <w:t>Акционом плану за спровођење Националне стратегије за побољшање положаја жена и унапређење родне равноправности за период од 2010. до 2015. године ("Службени гласник РС", број 67/10) и Националној стратегији запошљавања за период 2011-2020. године ("Службени гласник РС", број 37/11). Законски, институционални и стратешки оквири су постављени, али кључни проблем представља недовољна интегрисаност родне перспективе односно недовољно ефикасно спровођење закона, прописа и стратегија.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Будући да представљају мањину и суочавају се са специфичним ограничењима битно је обезбедити неопходну подршку женама у свим фазама пословања, од започињања посла, управљања, раста и развоја па до престанка обављања делатности. ЕУ кроз Акт о малим предузећима наглашава да је женско предузетништво приоритет, и бројним активностима се жене подстичу да започињу своје предузетничко пословање или јачају постојеће, као кроз нпр. менторске шеме. Влада последњих година све више ставља акценат на женско предузетништво и настоји да омогући добро пословно окружење за развој женског предузетништва у Републици Србији.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Млади, такође, имају неповољан положај на тржишту рада, који одликује ниска стопа активности, а стопа незапослености младих је далеко виша од просечне стопе незапослености радно активног становништва. Већина младих је дугорочно незапослена, а веома је висок и прилив на тржиште рада младих који први пут траже запослење. Велики број младих укључен је у неформално тржиште рада, а само 11% опредељују се за самозапошљавање. Међутим, могло би се закључити да су млади заинтересовани за развијање сопственог пословања, с обзиром да је велики број похађао обуке за предузетнике у организацији НАРР.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Поред недостатка професионалног искуства и стручне праксе, које може да буде отежавајућа околност приликом доношења одлуке за отпочињање пословања, млади се суочавају и са проблемом неразвијених предузетничких вештина, што је резултат непостојања адекватних образовних програма у средњим школама и на универзитетима, који би подстицали развијање предузетништва код младих.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Уз унапређење стања у систему образовања и већу подршку, предузетништво младих могло би значајније да се развије и ублажи проблем високе стопе незапослености код младих и омогући искоришћење иновационог потенцијала који млади поседују. Имајући у виду да се један део мера потребних за унапређење предузетништва младих пре свега односи на развој предузетничког духа и вештина, оне су обједињене са сродним мерама у оквиру стуба 3, димензије 2 "Подршка развоју образовања за предузетништво".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lastRenderedPageBreak/>
        <w:t>Социјално предузетништво одликује се великом иновативношћу и способношћу да комбинује различите ресурсе како би успешно обављало своју економску делатност и испунило друштвену мисију. Потребно је да остали актери у економском систему, пре свега доносиоци одлука и надлежни државни органи, организације и институције, али и приватна предузећа усмерена на остваривање профита, препознају специфичну улогу социјалног предузетништва и помогну његову афирмацију, опстанак и функционисање. Повољан правни оквир, предност при јавним набавкама, друштвено одговорно пословање и доступност микрофинансирања само су неке од опција које отварају шири простор за развој социјалног предузетништва.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2012. години у Републици Србији пословало је 1.196 социјалних предузећа различитих типова. У сектору социјалних предузећа у 2012. години било је запослено 10.326 лица, што је чинило 0,6% од укупног броја запослених у Републици Србији. Социјална предузећа у Републици Србији у свом пословању сусрећу се са знатно више препрека него погодности, а највећи проблеми сектора социјалних предузећа јесу недостатак извора финансирања, ниске цене производа и услуга, ненаплаћена потраживања и недовољна подршка.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Важан сегмент успешне политике развоја МСПП представља статистичко праћење и истраживање. У том циљу неопходно је уређење статистичког праћења МСПП усаглашеног са ЕУРОСТАТ које ће обухватити све аспекте предузетништва укључујући и предузетништво жена, младих и социјалних предузећа. </w:t>
      </w:r>
    </w:p>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1: Унапређење статистичког праћења и истраживања предузетништва жена, младих и социјалног предузетништва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Захваљујући редовном праћењу сектора МСПП, као и усклађивању пословних статистика са статистикама ЕУРОСТАТ на располагању је већи спектар могућности праћења предузетништва. Међутим, доступни подаци често нису родно осетљиви те не омогућавају увиде у родне разлике у предузетништву, нити у специфичности предузетништва жена, младих и социјалних предузећа. Потребно је расположиве статистичке податке даље унапредити, учинити родно осетљивим и створити услове за редовно праћење свих облика предузетништва.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Квалитетни статистички подаци неопходна су основа и за ефикасно и адекватно профилисање програма подршке, као и за праћење ефекта мера преко промена стања и трендова у свим специфичним облицима предузетништва.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9636"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9137"/>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M1 </w:t>
            </w:r>
          </w:p>
        </w:tc>
        <w:tc>
          <w:tcPr>
            <w:tcW w:w="9137"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механизма за статистичко прикупљање, обраду и праћење податакапредузетништва жена, младих и социјалног предузетништва;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9137"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система редовног и упоредивог праћења предузетништва жена, младих и социјалног предузетништва. </w:t>
            </w:r>
          </w:p>
        </w:tc>
      </w:tr>
    </w:tbl>
    <w:p w:rsidR="00AF22EC" w:rsidRPr="00AF22EC" w:rsidRDefault="00AF22EC" w:rsidP="00AF22EC">
      <w:pPr>
        <w:spacing w:before="240" w:after="240" w:line="240" w:lineRule="auto"/>
        <w:jc w:val="center"/>
        <w:rPr>
          <w:rFonts w:ascii="Arial" w:eastAsia="Times New Roman" w:hAnsi="Arial" w:cs="Arial"/>
          <w:i/>
          <w:iCs/>
          <w:color w:val="000000"/>
          <w:sz w:val="29"/>
          <w:szCs w:val="29"/>
          <w:lang w:eastAsia="sr-Latn-RS"/>
        </w:rPr>
      </w:pPr>
      <w:r w:rsidRPr="00AF22EC">
        <w:rPr>
          <w:rFonts w:ascii="Arial" w:eastAsia="Times New Roman" w:hAnsi="Arial" w:cs="Arial"/>
          <w:i/>
          <w:iCs/>
          <w:color w:val="000000"/>
          <w:sz w:val="29"/>
          <w:szCs w:val="29"/>
          <w:lang w:eastAsia="sr-Latn-RS"/>
        </w:rPr>
        <w:t>Димензија 2: Политика и инструменти за подршку женском предузетништву, предузетништву младих и социјалном предузетништву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Министарство надлежно за послове младих реализовало је различите активности усмерене на развој предузетништва младих, а министарство надлежно за послове запошљавања подстицало је поједине облике социјалних предузећа, док је већина инструмената за подршку развоју социјалног предузетништва долазила из сектора цивилног друштва и донаторске заједнице, који нису довољни. У последњих неколико година, министарство надлежно за послове привреде са мрежом институција за подршку предузетништву реализовало је различите пројекте са циљем стварања институционалног оквира за подршку развоју МСПП, као и различите врсте финансијске и нефинансијске подршке широм Републике Србије. Међутим, већина ових мера не може адекватно да одговори потребама ове три циљне групе у области предузетништва па је потребно редефинисати постојеће мере где је то могуће односно увести нове мере подршке посебно усмерене ка свакој од ових циљних група, у складу са њиховим специфичним потребама. Од посебног значаја је омогућити лакши приступ изворима финансирања за ове три специфичне области предузетништва кроз повољне кредитне линије, микрофинанирање, гаранције и алтернативне изворе финансирања.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Неопходно је подржати женско предузетништво, предузетништво младих и социјално предузетништво и кроз развој услуга обука, менторства и других облика стручне подршке предузетницима.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У Републици Србији делује више националних и локалних удружења које окупљају жене предузетнике, заступају њихове интересе, реализују обуке и спроводе пројекте подршке. Важна улога поменутих удружења је информисање и развој мреже пословних контаката чланица. Канцеларије за младе и удружења која се баве питањима младих активни су у спровођењу обука и обавештавању младих о могућностима за самозапошљавање. У Републици Србији делују и две мреже за подршку развоју социјалном предузетништву. У процесу афирмације и подстицања женског, социјалног и предузетништва младих потребно је створити јако партнерство владиног и невладиног сектора.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 xml:space="preserve">Неопходно је организовати промотивне активности ради промене традиционалног виђења улоге и положаја жена у друштву, али и промовисати искуства жена које су успешни примери у циљу подстицања </w:t>
      </w:r>
      <w:r w:rsidRPr="00AF22EC">
        <w:rPr>
          <w:rFonts w:ascii="Arial" w:eastAsia="Times New Roman" w:hAnsi="Arial" w:cs="Arial"/>
          <w:color w:val="000000"/>
          <w:sz w:val="26"/>
          <w:szCs w:val="26"/>
          <w:lang w:eastAsia="sr-Latn-RS"/>
        </w:rPr>
        <w:lastRenderedPageBreak/>
        <w:t>потенцијалних жена предузетника. Такође, потребно је промовисати успешне примере младих предузетника, који могу да подстакну друге младе људе да покрену сопствено пословање. С обзиром на недовољно искоришћење могућности социјалног предузетништва, важно је развити свест о томе шта је социјално предузетништво, које су његове специфичности и значај, као и законодавни и институционални оквир у којем послују социјална предузећа.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Приоритетне мере обухваћене овом димензијом Стратегије су: </w:t>
      </w:r>
    </w:p>
    <w:tbl>
      <w:tblPr>
        <w:tblW w:w="9211" w:type="dxa"/>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99"/>
        <w:gridCol w:w="8712"/>
      </w:tblGrid>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w:t>
            </w:r>
          </w:p>
        </w:tc>
        <w:tc>
          <w:tcPr>
            <w:tcW w:w="8712"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Укључити подршку женском предузетништву, предузетништву младих и социјалном предузетништву у сва државна документа која имају утицаја на привреду;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w:t>
            </w:r>
          </w:p>
        </w:tc>
        <w:tc>
          <w:tcPr>
            <w:tcW w:w="8712"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Повећати учешће жена, младих и социјалних предузећа у различитим програмима подршке МСПП;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w:t>
            </w:r>
          </w:p>
        </w:tc>
        <w:tc>
          <w:tcPr>
            <w:tcW w:w="8712"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Увести посебне програме подршке за МСПП намењене искључиво за жене, младе и социјално предузетништво; </w:t>
            </w:r>
          </w:p>
        </w:tc>
      </w:tr>
      <w:tr w:rsidR="00AF22EC" w:rsidRPr="00AF22EC" w:rsidTr="00AF22EC">
        <w:trPr>
          <w:tblCellSpacing w:w="0" w:type="dxa"/>
        </w:trPr>
        <w:tc>
          <w:tcPr>
            <w:tcW w:w="0" w:type="auto"/>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w:t>
            </w:r>
          </w:p>
        </w:tc>
        <w:tc>
          <w:tcPr>
            <w:tcW w:w="8712" w:type="dxa"/>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Промоција предузетничког духа, примери добре праксе, умрежавање, успостављање дијалога. </w:t>
            </w:r>
          </w:p>
        </w:tc>
      </w:tr>
    </w:tbl>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t>  </w:t>
      </w:r>
    </w:p>
    <w:p w:rsidR="00AF22EC" w:rsidRPr="00AF22EC" w:rsidRDefault="00AF22EC" w:rsidP="00AF22EC">
      <w:pPr>
        <w:spacing w:after="0" w:line="240" w:lineRule="auto"/>
        <w:jc w:val="center"/>
        <w:rPr>
          <w:rFonts w:ascii="Arial" w:eastAsia="Times New Roman" w:hAnsi="Arial" w:cs="Arial"/>
          <w:color w:val="000000"/>
          <w:sz w:val="36"/>
          <w:szCs w:val="36"/>
          <w:lang w:eastAsia="sr-Latn-RS"/>
        </w:rPr>
      </w:pPr>
      <w:bookmarkStart w:id="18" w:name="str_18"/>
      <w:bookmarkEnd w:id="18"/>
      <w:r w:rsidRPr="00AF22EC">
        <w:rPr>
          <w:rFonts w:ascii="Arial" w:eastAsia="Times New Roman" w:hAnsi="Arial" w:cs="Arial"/>
          <w:color w:val="000000"/>
          <w:sz w:val="36"/>
          <w:szCs w:val="36"/>
          <w:lang w:eastAsia="sr-Latn-RS"/>
        </w:rPr>
        <w:t>VI АКЦИОНИ ПЛАН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Активности, са роковима, органима и организацијама надлежним за спровођење активности, потребним финансијским средствима и показатељима за праћење спровођења мера ове стратегије дефинисаће се годишњим акционим плановима, које доноси Влада. </w:t>
      </w:r>
    </w:p>
    <w:p w:rsidR="00AF22EC" w:rsidRPr="00AF22EC" w:rsidRDefault="00AF22EC" w:rsidP="00AF22EC">
      <w:pPr>
        <w:spacing w:before="100" w:beforeAutospacing="1" w:after="100" w:afterAutospacing="1" w:line="240" w:lineRule="auto"/>
        <w:jc w:val="both"/>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Акциони план за спровођење Стратегије за 2015. са пројекцијом за 2016. годину, одштампан је уз Стратегију и чини њен саставни део. </w:t>
      </w:r>
    </w:p>
    <w:p w:rsidR="00AF22EC" w:rsidRPr="00AF22EC" w:rsidRDefault="00AF22EC" w:rsidP="00AF22EC">
      <w:pPr>
        <w:spacing w:after="0" w:line="240" w:lineRule="auto"/>
        <w:jc w:val="center"/>
        <w:rPr>
          <w:rFonts w:ascii="Arial" w:eastAsia="Times New Roman" w:hAnsi="Arial" w:cs="Arial"/>
          <w:color w:val="000000"/>
          <w:sz w:val="36"/>
          <w:szCs w:val="36"/>
          <w:lang w:eastAsia="sr-Latn-RS"/>
        </w:rPr>
      </w:pPr>
      <w:bookmarkStart w:id="19" w:name="str_19"/>
      <w:bookmarkEnd w:id="19"/>
      <w:r w:rsidRPr="00AF22EC">
        <w:rPr>
          <w:rFonts w:ascii="Arial" w:eastAsia="Times New Roman" w:hAnsi="Arial" w:cs="Arial"/>
          <w:color w:val="000000"/>
          <w:sz w:val="36"/>
          <w:szCs w:val="36"/>
          <w:lang w:eastAsia="sr-Latn-RS"/>
        </w:rPr>
        <w:t>VII ЗАВРШНИ ДЕО </w:t>
      </w:r>
    </w:p>
    <w:p w:rsidR="00AF22EC" w:rsidRPr="00AF22EC" w:rsidRDefault="00AF22EC" w:rsidP="00AF22EC">
      <w:pPr>
        <w:spacing w:before="100" w:beforeAutospacing="1" w:after="100" w:afterAutospacing="1" w:line="240" w:lineRule="auto"/>
        <w:rPr>
          <w:rFonts w:ascii="Arial" w:eastAsia="Times New Roman" w:hAnsi="Arial" w:cs="Arial"/>
          <w:color w:val="000000"/>
          <w:sz w:val="26"/>
          <w:szCs w:val="26"/>
          <w:lang w:eastAsia="sr-Latn-RS"/>
        </w:rPr>
      </w:pPr>
      <w:r w:rsidRPr="00AF22EC">
        <w:rPr>
          <w:rFonts w:ascii="Arial" w:eastAsia="Times New Roman" w:hAnsi="Arial" w:cs="Arial"/>
          <w:color w:val="000000"/>
          <w:sz w:val="26"/>
          <w:szCs w:val="26"/>
          <w:lang w:eastAsia="sr-Latn-RS"/>
        </w:rPr>
        <w:t>Ову стратегију објавити у "Службеном гласнику Републике Србије". </w:t>
      </w:r>
    </w:p>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t>  </w:t>
      </w:r>
    </w:p>
    <w:p w:rsidR="00AF22EC" w:rsidRPr="00AF22EC" w:rsidRDefault="00AF22EC" w:rsidP="00AF22EC">
      <w:pPr>
        <w:spacing w:after="0" w:line="240" w:lineRule="auto"/>
        <w:jc w:val="center"/>
        <w:rPr>
          <w:rFonts w:ascii="Arial" w:eastAsia="Times New Roman" w:hAnsi="Arial" w:cs="Arial"/>
          <w:b/>
          <w:bCs/>
          <w:color w:val="000000"/>
          <w:sz w:val="33"/>
          <w:szCs w:val="33"/>
          <w:lang w:eastAsia="sr-Latn-RS"/>
        </w:rPr>
      </w:pPr>
      <w:bookmarkStart w:id="20" w:name="str_20"/>
      <w:bookmarkEnd w:id="20"/>
      <w:r w:rsidRPr="00AF22EC">
        <w:rPr>
          <w:rFonts w:ascii="Arial" w:eastAsia="Times New Roman" w:hAnsi="Arial" w:cs="Arial"/>
          <w:b/>
          <w:bCs/>
          <w:color w:val="000000"/>
          <w:sz w:val="33"/>
          <w:szCs w:val="33"/>
          <w:lang w:eastAsia="sr-Latn-RS"/>
        </w:rPr>
        <w:t>Акциони план за спровођење Стратегије за подршку развоја малих и средњих предузећа, предузетништва и конкурентности за 2015. са пројекцијом за 2016. годину </w:t>
      </w:r>
    </w:p>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t>  </w:t>
      </w:r>
    </w:p>
    <w:tbl>
      <w:tblPr>
        <w:tblW w:w="10057" w:type="dxa"/>
        <w:tblCellSpacing w:w="0" w:type="dxa"/>
        <w:tblBorders>
          <w:top w:val="inset" w:sz="6" w:space="0" w:color="000000"/>
          <w:left w:val="inset" w:sz="6" w:space="0" w:color="000000"/>
          <w:bottom w:val="inset" w:sz="6" w:space="0" w:color="000000"/>
          <w:right w:val="in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642"/>
        <w:gridCol w:w="2487"/>
        <w:gridCol w:w="1959"/>
        <w:gridCol w:w="850"/>
        <w:gridCol w:w="1559"/>
        <w:gridCol w:w="1560"/>
      </w:tblGrid>
      <w:tr w:rsidR="00AF22EC" w:rsidRPr="00AF22EC" w:rsidTr="00AF22EC">
        <w:trPr>
          <w:tblCellSpacing w:w="0" w:type="dxa"/>
        </w:trPr>
        <w:tc>
          <w:tcPr>
            <w:tcW w:w="10057"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240" w:after="240" w:line="240" w:lineRule="auto"/>
              <w:jc w:val="center"/>
              <w:rPr>
                <w:rFonts w:ascii="Arial" w:eastAsia="Times New Roman" w:hAnsi="Arial" w:cs="Arial"/>
                <w:b/>
                <w:bCs/>
                <w:sz w:val="29"/>
                <w:szCs w:val="29"/>
                <w:lang w:eastAsia="sr-Latn-RS"/>
              </w:rPr>
            </w:pPr>
            <w:bookmarkStart w:id="21" w:name="str_21"/>
            <w:bookmarkEnd w:id="21"/>
            <w:r w:rsidRPr="00AF22EC">
              <w:rPr>
                <w:rFonts w:ascii="Arial" w:eastAsia="Times New Roman" w:hAnsi="Arial" w:cs="Arial"/>
                <w:b/>
                <w:bCs/>
                <w:sz w:val="29"/>
                <w:szCs w:val="29"/>
                <w:lang w:eastAsia="sr-Latn-RS"/>
              </w:rPr>
              <w:t>Стуб - 1 </w:t>
            </w:r>
          </w:p>
          <w:p w:rsidR="00AF22EC" w:rsidRPr="00AF22EC" w:rsidRDefault="00AF22EC" w:rsidP="00AF22EC">
            <w:pPr>
              <w:spacing w:before="240" w:after="240" w:line="240" w:lineRule="auto"/>
              <w:jc w:val="center"/>
              <w:rPr>
                <w:rFonts w:ascii="Arial" w:eastAsia="Times New Roman" w:hAnsi="Arial" w:cs="Arial"/>
                <w:b/>
                <w:bCs/>
                <w:sz w:val="29"/>
                <w:szCs w:val="29"/>
                <w:lang w:eastAsia="sr-Latn-RS"/>
              </w:rPr>
            </w:pPr>
            <w:r w:rsidRPr="00AF22EC">
              <w:rPr>
                <w:rFonts w:ascii="Arial" w:eastAsia="Times New Roman" w:hAnsi="Arial" w:cs="Arial"/>
                <w:b/>
                <w:bCs/>
                <w:sz w:val="29"/>
                <w:szCs w:val="29"/>
                <w:lang w:eastAsia="sr-Latn-RS"/>
              </w:rPr>
              <w:lastRenderedPageBreak/>
              <w:t>ОПШТИ ЦИЉ - УНАПРЕЂЕЊЕ ПОСЛОВНОГ ОКРУЖЕЊА </w:t>
            </w:r>
          </w:p>
        </w:tc>
      </w:tr>
      <w:tr w:rsidR="00AF22EC" w:rsidRPr="00AF22EC" w:rsidTr="00AF22EC">
        <w:trPr>
          <w:tblCellSpacing w:w="0" w:type="dxa"/>
        </w:trPr>
        <w:tc>
          <w:tcPr>
            <w:tcW w:w="10057"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Times New Roman" w:eastAsia="Times New Roman" w:hAnsi="Times New Roman" w:cs="Times New Roman"/>
                <w:sz w:val="24"/>
                <w:szCs w:val="24"/>
                <w:lang w:eastAsia="sr-Latn-RS"/>
              </w:rPr>
            </w:pPr>
            <w:r w:rsidRPr="00AF22EC">
              <w:rPr>
                <w:rFonts w:ascii="Times New Roman" w:eastAsia="Times New Roman" w:hAnsi="Times New Roman" w:cs="Times New Roman"/>
                <w:b/>
                <w:bCs/>
                <w:sz w:val="24"/>
                <w:szCs w:val="24"/>
                <w:lang w:eastAsia="sr-Latn-RS"/>
              </w:rPr>
              <w:lastRenderedPageBreak/>
              <w:t>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1.1 Димензија</w:t>
            </w:r>
            <w:r w:rsidRPr="00AF22EC">
              <w:rPr>
                <w:rFonts w:ascii="Arial" w:eastAsia="Times New Roman" w:hAnsi="Arial" w:cs="Arial"/>
                <w:sz w:val="26"/>
                <w:szCs w:val="26"/>
                <w:lang w:eastAsia="sr-Latn-RS"/>
              </w:rPr>
              <w:br/>
              <w:t>Специфични циљ</w:t>
            </w:r>
          </w:p>
        </w:tc>
        <w:tc>
          <w:tcPr>
            <w:tcW w:w="4446"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 </w:t>
            </w:r>
          </w:p>
        </w:tc>
        <w:tc>
          <w:tcPr>
            <w:tcW w:w="3969"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подстицајног регулаторног оквира у складу са потребама и могућностима малих и средњих привредних друштава и предузетника (у даљем тексту: МСПП)</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Унапређење правног оквира за оснивање, пословање и гашење привредних субјеката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 </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Измене Закона о привредним друштвима ("Службени гласник РС", бр. 36/11, 99/11, 83/14 - др. закон и 5/15)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Припремљене и усвојене измене Закона о привредним друштвима у циљу побољшања услова пословања и ефикаснијег начина организовања привредних субјеката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Измене Закона о стечају ("Службени гласник РС", бр. 104/09, 99/11 - др. закон, 71/12 - УС и 83/14)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Измењен Закон о стечају у циљу:</w:t>
            </w:r>
            <w:r w:rsidRPr="00AF22EC">
              <w:rPr>
                <w:rFonts w:ascii="Arial" w:eastAsia="Times New Roman" w:hAnsi="Arial" w:cs="Arial"/>
                <w:sz w:val="26"/>
                <w:szCs w:val="26"/>
                <w:lang w:eastAsia="sr-Latn-RS"/>
              </w:rPr>
              <w:br/>
              <w:t>(1) унапређења и поједностав</w:t>
            </w:r>
            <w:r w:rsidRPr="00AF22EC">
              <w:rPr>
                <w:rFonts w:ascii="Arial" w:eastAsia="Times New Roman" w:hAnsi="Arial" w:cs="Arial"/>
                <w:sz w:val="26"/>
                <w:szCs w:val="26"/>
                <w:lang w:eastAsia="sr-Latn-RS"/>
              </w:rPr>
              <w:lastRenderedPageBreak/>
              <w:t>љења стечајног поступка; (2) ради увођења могућности да делатност стечајних управника обављају и лиценцирана привредна друштва; (3) унапређење поступка у циљу смањења броја субјеката која се гасе на крају стечајног поступка, а повећање броја субјеката који након стечаја настављају са радом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Праћење примене Закона о стечају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Скраћење времена потребног за спровођење стечаја тако да у просеку буде до једне године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Трошкови спровођења стечајног поступка смањени за најмање 2% до краја 2015. године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редовна средства уз подршку пројекта "Развој приватног сектора" ИПА 2013, од 2016. </w:t>
            </w:r>
            <w:r w:rsidRPr="00AF22EC">
              <w:rPr>
                <w:rFonts w:ascii="Arial" w:eastAsia="Times New Roman" w:hAnsi="Arial" w:cs="Arial"/>
                <w:sz w:val="26"/>
                <w:szCs w:val="26"/>
                <w:lang w:eastAsia="sr-Latn-RS"/>
              </w:rPr>
              <w:lastRenderedPageBreak/>
              <w:t>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људских капацитета у циљу ефикасније примене Закона о стечају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Агенција за лиценцирање стечајних управника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Припремљени материјали и спроведена обука стечајних управника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Најмање 50% активних стечајних управника прошло обуку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Материјали дистрибуирани свим лиценцираним стечајним управницима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А5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Доношење закона о занатству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и усвојен закон о занатству који уређује занатску делатност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А6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Доношење закона о задругама којим ће се регулисати </w:t>
            </w:r>
            <w:r w:rsidRPr="00AF22EC">
              <w:rPr>
                <w:rFonts w:ascii="Arial" w:eastAsia="Times New Roman" w:hAnsi="Arial" w:cs="Arial"/>
                <w:sz w:val="26"/>
                <w:szCs w:val="26"/>
                <w:lang w:eastAsia="sr-Latn-RS"/>
              </w:rPr>
              <w:lastRenderedPageBreak/>
              <w:t>правни положај задруга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Припремљен и усвојен закон о задругама </w:t>
            </w:r>
            <w:r w:rsidRPr="00AF22EC">
              <w:rPr>
                <w:rFonts w:ascii="Arial" w:eastAsia="Times New Roman" w:hAnsi="Arial" w:cs="Arial"/>
                <w:sz w:val="26"/>
                <w:szCs w:val="26"/>
                <w:lang w:eastAsia="sr-Latn-RS"/>
              </w:rPr>
              <w:lastRenderedPageBreak/>
              <w:t>којим су створени услови за интензивнији развој задругарства у Републици Србији на савременим основама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Уређени послови обављања задружне ревизије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Дефинисани услови стицања задружне својине и њеног уписа у регистар стварних права на непокретностима и правима на њима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w:t>
            </w:r>
            <w:r w:rsidRPr="00AF22EC">
              <w:rPr>
                <w:rFonts w:ascii="Arial" w:eastAsia="Times New Roman" w:hAnsi="Arial" w:cs="Arial"/>
                <w:sz w:val="26"/>
                <w:szCs w:val="26"/>
                <w:lang w:eastAsia="sr-Latn-RS"/>
              </w:rPr>
              <w:lastRenderedPageBreak/>
              <w:t>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А7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доследне примене Закона о роковима измирења новчаних обавеза у комерцијалним трансакцијама ("Службени гласник РС", број 119/12)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Поштовање рокова прописаних Законом о роковима измирења новчаних обавеза у комерцијалним трансакцијама за наплату </w:t>
            </w:r>
            <w:r w:rsidRPr="00AF22EC">
              <w:rPr>
                <w:rFonts w:ascii="Arial" w:eastAsia="Times New Roman" w:hAnsi="Arial" w:cs="Arial"/>
                <w:sz w:val="26"/>
                <w:szCs w:val="26"/>
                <w:lang w:eastAsia="sr-Latn-RS"/>
              </w:rPr>
              <w:lastRenderedPageBreak/>
              <w:t>новчаних потраживања применом строге контроле, нарочито плаћања јавног сектора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редовна средства уз подршку пројекта "Развој приватног сектора" ИПА 2013, од 2016. године - </w:t>
            </w:r>
            <w:r w:rsidRPr="00AF22EC">
              <w:rPr>
                <w:rFonts w:ascii="Arial" w:eastAsia="Times New Roman" w:hAnsi="Arial" w:cs="Arial"/>
                <w:sz w:val="26"/>
                <w:szCs w:val="26"/>
                <w:lang w:eastAsia="sr-Latn-RS"/>
              </w:rPr>
              <w:lastRenderedPageBreak/>
              <w:t>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А8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Изменити Правилник о евиденцији промета роба и услуга ("Службени гласник РС", бр. 45/96, 48/96 -исправка, 9/97, 6/99, 109/09 и 7/10) или донети нов правилник у овој области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Укинута обавеза вођења књиге евиденције промета робе на велико за привредне субјекте који воде пословне књиге по систему двојног књиговодства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 Пројекат за боље услове пословања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А9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Припремити и спровести кампању промовисања позитивних ставова о давању "друге шансе" - подстицање предузетника да покрену нове пословне подухвате након ранијих пословних неуспеха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Национална агенција за регионални развој (у даљем тексту: НАРР)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Посебна кампања на интернет порталу "Предузетнички сервис" и организовање минимум једног догађаја годишње на ову тему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А10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Подршка за благовремену припрему преноса </w:t>
            </w:r>
            <w:r w:rsidRPr="00AF22EC">
              <w:rPr>
                <w:rFonts w:ascii="Arial" w:eastAsia="Times New Roman" w:hAnsi="Arial" w:cs="Arial"/>
                <w:sz w:val="26"/>
                <w:szCs w:val="26"/>
                <w:lang w:eastAsia="sr-Latn-RS"/>
              </w:rPr>
              <w:lastRenderedPageBreak/>
              <w:t>власништва и управљања предузећима чији се власници повлаче из пословања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НАРР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Израђен предлог програма </w:t>
            </w:r>
            <w:r w:rsidRPr="00AF22EC">
              <w:rPr>
                <w:rFonts w:ascii="Arial" w:eastAsia="Times New Roman" w:hAnsi="Arial" w:cs="Arial"/>
                <w:sz w:val="26"/>
                <w:szCs w:val="26"/>
                <w:lang w:eastAsia="sr-Latn-RS"/>
              </w:rPr>
              <w:lastRenderedPageBreak/>
              <w:t>за благовремену припрему преноса власништва МСПП и повезивање власника са потенцијално новим власницима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w:t>
            </w:r>
            <w:r w:rsidRPr="00AF22EC">
              <w:rPr>
                <w:rFonts w:ascii="Arial" w:eastAsia="Times New Roman" w:hAnsi="Arial" w:cs="Arial"/>
                <w:sz w:val="26"/>
                <w:szCs w:val="26"/>
                <w:lang w:eastAsia="sr-Latn-RS"/>
              </w:rPr>
              <w:lastRenderedPageBreak/>
              <w:t>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А11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Измена Закона о споразумном финансијском реструктурирању привредних друштава ("Службени гласник РС", број 36/11)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Привредна комора Србије (у даљем тексту: ПКС)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Усвојене измене и допуне Закона о споразумном финансијском реструктурирању привредних друштава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 2016. години припремљени инфо материјали за обуке и организоване две обуке за привреднике о могућностима коришћења споразумног финансијског реструктури</w:t>
            </w:r>
            <w:r w:rsidRPr="00AF22EC">
              <w:rPr>
                <w:rFonts w:ascii="Arial" w:eastAsia="Times New Roman" w:hAnsi="Arial" w:cs="Arial"/>
                <w:sz w:val="26"/>
                <w:szCs w:val="26"/>
                <w:lang w:eastAsia="sr-Latn-RS"/>
              </w:rPr>
              <w:lastRenderedPageBreak/>
              <w:t>рања привредних друштава у складу са усвојеним изменама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А12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Спровођење кампање усмерене на промовисање Закона о посредовању у решавању спорова ("Службени гласник РС", број 55/14)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r w:rsidRPr="00AF22EC">
              <w:rPr>
                <w:rFonts w:ascii="Arial" w:eastAsia="Times New Roman" w:hAnsi="Arial" w:cs="Arial"/>
                <w:sz w:val="26"/>
                <w:szCs w:val="26"/>
                <w:lang w:eastAsia="sr-Latn-RS"/>
              </w:rPr>
              <w:b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Најмање четири промотивне активности у току године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 2016. години најмање 2% привреде користи механизме алтернативног решавања спорова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ПКС -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А13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Доношење закона о привременом ограничењу права обављања привредних и других делатности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Донет закон у циљу стварања сигурнијих услова пословања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и донација Владе Краљевине Норвешке потврђена Закључком Владе 05 Број: 018 - 10139/2013-1 од 28. новембра 2013. године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А14</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Координација активности на </w:t>
            </w:r>
            <w:r w:rsidRPr="00AF22EC">
              <w:rPr>
                <w:rFonts w:ascii="Arial" w:eastAsia="Times New Roman" w:hAnsi="Arial" w:cs="Arial"/>
                <w:sz w:val="26"/>
                <w:szCs w:val="26"/>
                <w:lang w:eastAsia="sr-Latn-RS"/>
              </w:rPr>
              <w:lastRenderedPageBreak/>
              <w:t>смањењу сиве економије</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Координационо тело за усмеравање </w:t>
            </w:r>
            <w:r w:rsidRPr="00AF22EC">
              <w:rPr>
                <w:rFonts w:ascii="Arial" w:eastAsia="Times New Roman" w:hAnsi="Arial" w:cs="Arial"/>
                <w:sz w:val="26"/>
                <w:szCs w:val="26"/>
                <w:lang w:eastAsia="sr-Latn-RS"/>
              </w:rPr>
              <w:lastRenderedPageBreak/>
              <w:t>активности на сузбијању сиве економије</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Припремљен национални </w:t>
            </w:r>
            <w:r w:rsidRPr="00AF22EC">
              <w:rPr>
                <w:rFonts w:ascii="Arial" w:eastAsia="Times New Roman" w:hAnsi="Arial" w:cs="Arial"/>
                <w:sz w:val="26"/>
                <w:szCs w:val="26"/>
                <w:lang w:eastAsia="sr-Latn-RS"/>
              </w:rPr>
              <w:lastRenderedPageBreak/>
              <w:t>програм за сузбијање сиве економије</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w:t>
            </w:r>
            <w:r w:rsidRPr="00AF22EC">
              <w:rPr>
                <w:rFonts w:ascii="Arial" w:eastAsia="Times New Roman" w:hAnsi="Arial" w:cs="Arial"/>
                <w:sz w:val="26"/>
                <w:szCs w:val="26"/>
                <w:lang w:eastAsia="sr-Latn-RS"/>
              </w:rPr>
              <w:lastRenderedPageBreak/>
              <w:t>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Смањење пореских и непореских обавеза привреди</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Донети закон о накнадама за коришћење јавних добара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Уређен систем накнада за коришћење јавних добара и успостављање јавно доступног регистра тих накнада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Измена Закона о републичким административним таксама ("Службени гласник РС", бр. 43/03, 51/03 - исправка, 61/05, 101/05 - др. закон, 5/09, 54/09, 50/11, 70/11 - усклађени динарски износи, 55/12 - усклађени динарски износи, 93/12, 47/13 - усклађени динарски износи, 65/13 - др. закон и 57/14 - усклађени динарски износи)</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Измена одредаба Закона о републичким административним таксама на начин да се за све списе и радње у управним стварима, као и за друге списе и радње код органа пропише номинални износ таксе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Свака јавна услуга мора бити цењена у складу са принципом да се за њу плаћа такса у износу њене вредности и утрошка средстава јавне управе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Утврдити јасну методологију за утврђивање износа за паушално опорезивање</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 Пореска управа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Донета јасна методологија за опорезивање прихода предузетника који порез на приход од самосталне делатности плаћају на паушално утврђен приход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Доношење новог закона о финансирању локалне самоуправе са циљем превазилажења слабости постојећег система финансирања локалних самоуправа и јасног дефинисања критеријума за </w:t>
            </w:r>
            <w:r w:rsidRPr="00AF22EC">
              <w:rPr>
                <w:rFonts w:ascii="Arial" w:eastAsia="Times New Roman" w:hAnsi="Arial" w:cs="Arial"/>
                <w:sz w:val="26"/>
                <w:szCs w:val="26"/>
                <w:lang w:eastAsia="sr-Latn-RS"/>
              </w:rPr>
              <w:lastRenderedPageBreak/>
              <w:t>утврђивање висине такси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финансија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Донет нов закон о финансирању локалне самоуправе којим су елеминисане слабости постојећег система финансирања локалне самоуправе </w:t>
            </w:r>
            <w:r w:rsidRPr="00AF22EC">
              <w:rPr>
                <w:rFonts w:ascii="Arial" w:eastAsia="Times New Roman" w:hAnsi="Arial" w:cs="Arial"/>
                <w:sz w:val="26"/>
                <w:szCs w:val="26"/>
                <w:lang w:eastAsia="sr-Latn-RS"/>
              </w:rPr>
              <w:lastRenderedPageBreak/>
              <w:t>и уведен одговорнији однос наплате прихода од стране општина и градова чиме би се створио фискално одговоран и одржив систем јавних финансија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Створена јасна законска правила којима се дефинише систем финансирања јединица локалне самоуправе и створен амбијент стабилности и предвидивости у планирању прихода приликом припрема одлука о буџету јединица локалне самоуправе (у даљем </w:t>
            </w:r>
            <w:r w:rsidRPr="00AF22EC">
              <w:rPr>
                <w:rFonts w:ascii="Arial" w:eastAsia="Times New Roman" w:hAnsi="Arial" w:cs="Arial"/>
                <w:sz w:val="26"/>
                <w:szCs w:val="26"/>
                <w:lang w:eastAsia="sr-Latn-RS"/>
              </w:rPr>
              <w:lastRenderedPageBreak/>
              <w:t>тексту: ЈЛС)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Новим законским решењима усаглашени називи са пореским карактером изворних прихода ЈЛС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Прописан другачији систем обрачуна ненаменског трансфера јединицама локалне самоуправе који ће променити управљање јавним финансијама на локалном нивоу власти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 делу којим се прописује утврђивање такси и накнада за пружање одређених јавних услуга прописати јасне </w:t>
            </w:r>
            <w:r w:rsidRPr="00AF22EC">
              <w:rPr>
                <w:rFonts w:ascii="Arial" w:eastAsia="Times New Roman" w:hAnsi="Arial" w:cs="Arial"/>
                <w:sz w:val="26"/>
                <w:szCs w:val="26"/>
                <w:lang w:eastAsia="sr-Latn-RS"/>
              </w:rPr>
              <w:lastRenderedPageBreak/>
              <w:t>критеријуме за сваку таксу за коју је то могуће, а за које нису јасно постављени критеријуми за утврђивање висине или су критеријуми постављени сувише широко па доводе до великих разлика у износима такси за исту услугу у различитим ЈЛС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Увођење ефикаснијих процедура за инвестиционо улагање у изградњу и управљање непокретностима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Закон о државном премеру и катастру ("Службени гласник РС", бр. 72/09, 18/10, 65/13 и 15/15 - УС)</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Републички геодетски завод (у даљем тексту: РГЗ)</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Предвиђена санкција за непоштовање рока од 30 дана предвиђеног Законом о општем управном </w:t>
            </w:r>
            <w:r w:rsidRPr="00AF22EC">
              <w:rPr>
                <w:rFonts w:ascii="Arial" w:eastAsia="Times New Roman" w:hAnsi="Arial" w:cs="Arial"/>
                <w:sz w:val="26"/>
                <w:szCs w:val="26"/>
                <w:lang w:eastAsia="sr-Latn-RS"/>
              </w:rPr>
              <w:lastRenderedPageBreak/>
              <w:t>поступку ("Службени лист СРЈ", бр. 33/97 и 31/01 и "Службени гласник РС", број 30/10) у коме надлежни органи управе, укључујући и РГЗ, морају да обаве упис у Катастар непокретности по уредно достављеном захтеву</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редовна средства уз подршку УСАИД БЕП-Пројекат за боље </w:t>
            </w:r>
            <w:r w:rsidRPr="00AF22EC">
              <w:rPr>
                <w:rFonts w:ascii="Arial" w:eastAsia="Times New Roman" w:hAnsi="Arial" w:cs="Arial"/>
                <w:sz w:val="26"/>
                <w:szCs w:val="26"/>
                <w:lang w:eastAsia="sr-Latn-RS"/>
              </w:rPr>
              <w:lastRenderedPageBreak/>
              <w:t>услове пословања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Пуна примена усвојеног Закона о изменама и допунама Закона о планирању и изградњи ("Службени гласник РС", бр. 132/14 и 145/14)</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Трајање поступка за добијање грађевинске и употребне дозволе и уписа права својине скраћено за најмање 100 дана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Рационализација такси и накнада кроз њихово смањивање и укидање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Смањење броја процедура на не више од 11 (тренутно их има 16)</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УСАИД БЕП -Пројекат за боље услове пословања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Централне евиденције обједињених процедура издавања грађевинских дозвола у складу са Законом о изменама и допунама Закона о планирању и изградњи</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Агенција за привредне регистре (у даљем тексту: АПР)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Успостављена Централна евиденција обједињених процедура издавања грађевинских дозвола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Сопствени приходи Агенције за привредне регистре (приходи од накнада) уз подршку пројекта "Развој приватног сектора" ИПА 2013, од 2016. године - Уговор о услугама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Усаглашавање секторских прописа са законодавним оквиром за уређење области планирања и изградње са циљем оптимизације поступка издавања дозвола које се односе на градњу, а које издају јавна предузећа и други органи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РГЗ и други надлежни органи</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Усаглашени прописи који се односе на поступак издавања дозвола за градњу, а које издају јавна предузећа и други органи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Редефинисање улога јавних предузећа и других органа у процедура</w:t>
            </w:r>
            <w:r w:rsidRPr="00AF22EC">
              <w:rPr>
                <w:rFonts w:ascii="Arial" w:eastAsia="Times New Roman" w:hAnsi="Arial" w:cs="Arial"/>
                <w:sz w:val="26"/>
                <w:szCs w:val="26"/>
                <w:lang w:eastAsia="sr-Latn-RS"/>
              </w:rPr>
              <w:lastRenderedPageBreak/>
              <w:t>ма издавања дозвола у поступку грађења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Оптимизација поступака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УСАИД БЕП-Пројекат за боље услове пословања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Уређивање имовинско-правних односа на грађевинском земљишту и доношење неопходних просторних и урбанистичких планова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РГЗ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Стална конференција градова и општина (у даљем тексту: СКГО)</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надлежни органи</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2015 2016</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Утврђено тачно стање у погледу непокривености територија одговарајућим просторним и урбанистичким плановима и припремљен акциони план који прецизира динамику израде и усвајања недостајућих планских докумената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А6</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Реформа прописа којима се предвиђа плаћање накнада за уређење грађевинског земљишта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Утврђени јасни критеријуми за одређивање доприноса за уређивање грађевинск</w:t>
            </w:r>
            <w:r w:rsidRPr="00AF22EC">
              <w:rPr>
                <w:rFonts w:ascii="Arial" w:eastAsia="Times New Roman" w:hAnsi="Arial" w:cs="Arial"/>
                <w:sz w:val="26"/>
                <w:szCs w:val="26"/>
                <w:lang w:eastAsia="sr-Latn-RS"/>
              </w:rPr>
              <w:lastRenderedPageBreak/>
              <w:t>ог земљишта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редовна средства уз подршку УСАИД БЕП -Пројекат за боље </w:t>
            </w:r>
            <w:r w:rsidRPr="00AF22EC">
              <w:rPr>
                <w:rFonts w:ascii="Arial" w:eastAsia="Times New Roman" w:hAnsi="Arial" w:cs="Arial"/>
                <w:sz w:val="26"/>
                <w:szCs w:val="26"/>
                <w:lang w:eastAsia="sr-Latn-RS"/>
              </w:rPr>
              <w:lastRenderedPageBreak/>
              <w:t>услове пословања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А7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Изменити Правилник о изради и одржавању катастра непокретности ("Службени гласник РС", број 46/99)</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РГЗ</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Прописана обавеза уписа права прече куповине у катастар непокретности како би се јасно истакло ово право и уједначено примењивало у свим јединицама катастра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Омогућен упис свих закупа без ограничења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А8</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Скратити време потребно да се изврши упис и брисање хипотеке</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РГЗ</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Поједностављени и скраћени административни поступци за упис и брисање хипотеке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Обучено особље у локалним катастрима о примени административних поступака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 Пројекат за боље услове пословања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 Унапређење регулаторног оквира инспекцијског надзора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Извор и процена </w:t>
            </w:r>
            <w:r w:rsidRPr="00AF22EC">
              <w:rPr>
                <w:rFonts w:ascii="Arial" w:eastAsia="Times New Roman" w:hAnsi="Arial" w:cs="Arial"/>
                <w:sz w:val="26"/>
                <w:szCs w:val="26"/>
                <w:lang w:eastAsia="sr-Latn-RS"/>
              </w:rPr>
              <w:lastRenderedPageBreak/>
              <w:t>износа финансијских средстава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Доношење системског закона којим се уређује област инспекцијског надзора</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државне управе и локалне самоуправе</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нови јединствени правни оквир за инспекцијски надзор</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-Пројекат за боље услове пословања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Доношење подзаконских прописа и аката за извршавање системског закона којим се уређује област инспекцијског надзора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државне управе и локалне самоуправе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Надлежни органи</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Донети подзаконски прописи и акти за спровођење закона о инспекцијском надзору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-Пројекат за боље услове пословања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Усаглашавање секторских закона са системским законом којим се уређује инспекцијски надзор</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Надлежни државни органи</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Усаглашени посебни закони којима се у појединим областима уређује инспекцијски надзор са одредбама системског закона којим је уређен инспекцијски надзор</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пројекта "Развој приватног сектора" ИПА 2013, од 2016. године - Уговор о услугама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Обезбедити кординацију рада инспекцијских служби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државне управе и локалне самоуправе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Влада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Надлежни органи</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Образовано посебно тело које ће бити задужено за координацију инспекцијских служби, њихову сарадњу, размену информација и унапређење делотворности инспекцијског надзора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-Пројекат за боље услове пословања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M5 - Унапређење законодавног оквира у области радних односа и права из радних односа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Реформа прописа у области радног законодавства и безбедности на раду</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за рад, запошљавање, борачка и социјална питања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Даље унапређење радног законодавства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Јачање функције инспекције рада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Усклађеност Закона о безбедности и здрављу на </w:t>
            </w:r>
            <w:r w:rsidRPr="00AF22EC">
              <w:rPr>
                <w:rFonts w:ascii="Arial" w:eastAsia="Times New Roman" w:hAnsi="Arial" w:cs="Arial"/>
                <w:sz w:val="26"/>
                <w:szCs w:val="26"/>
                <w:lang w:eastAsia="sr-Latn-RS"/>
              </w:rPr>
              <w:lastRenderedPageBreak/>
              <w:t>раду ("Службени гласник РС", број 101/05) са директивама Европске уније (минимум 70%)</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M6 - Регулаторна реформа секторских прописа значајних за пословање МСПП</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Изменити Правилник о условима и начину обављања угоститељске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гласник РС", број 48/12)</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Усвојен измењен Правилник о условима и начину обављања угоститељске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 са </w:t>
            </w:r>
            <w:r w:rsidRPr="00AF22EC">
              <w:rPr>
                <w:rFonts w:ascii="Arial" w:eastAsia="Times New Roman" w:hAnsi="Arial" w:cs="Arial"/>
                <w:sz w:val="26"/>
                <w:szCs w:val="26"/>
                <w:lang w:eastAsia="sr-Latn-RS"/>
              </w:rPr>
              <w:lastRenderedPageBreak/>
              <w:t>адекватније дефинисаним системом стандарда за категоризацију обавезних елемената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Изменити Правилник о минималним техничким и санитарно-хигијенским условима за пружање угоститељских услуга у домаћој радиности и у сеоском туристичком домаћинству ("Службени гласник РС", бр. 41/10 и 48/12)</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Усвојен измењен Правилник о минимално техничким и санитарно-хигијенским условима за пружање угоститељских услуга у домаћој радиности и у сеоским домаћинствима са адекватније дефинисаним системом стандарда за категоризацију обавезних елемената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Реформа прописа којима се уређује област туризма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СКГО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Повећана овлашћења туристичке инспекције - инспекторима </w:t>
            </w:r>
            <w:r w:rsidRPr="00AF22EC">
              <w:rPr>
                <w:rFonts w:ascii="Arial" w:eastAsia="Times New Roman" w:hAnsi="Arial" w:cs="Arial"/>
                <w:sz w:val="26"/>
                <w:szCs w:val="26"/>
                <w:lang w:eastAsia="sr-Latn-RS"/>
              </w:rPr>
              <w:lastRenderedPageBreak/>
              <w:t>омогућена контрола фискалне касе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Забрана удружењима да организују путовања у земљи у трајању дужем од два дана и путовања у иностранство (путовање у земљи дуже од два дана или путовање у иностранство може да организује само регистрована туристичка агенција)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СКГО спровео промотивне активности и радионице са локалним самоуправама у циљу што боље примене нових одредаба </w:t>
            </w:r>
            <w:r w:rsidRPr="00AF22EC">
              <w:rPr>
                <w:rFonts w:ascii="Arial" w:eastAsia="Times New Roman" w:hAnsi="Arial" w:cs="Arial"/>
                <w:sz w:val="26"/>
                <w:szCs w:val="26"/>
                <w:lang w:eastAsia="sr-Latn-RS"/>
              </w:rPr>
              <w:lastRenderedPageBreak/>
              <w:t>прописа о туризму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Уведена забрана удружењима да се баве пружањем угоститељских услуга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Модернизовати поступак регистрације и овере редова вожње у међумесном превозу и поступак одобравања редова вожње у међународном јавном линијском превозу путника</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Донет Закон о превозу путника у друмском саобраћају</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пројекта "Развој приватног сектора" ИПА 2013, од 2016. године - Уговор о услугама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А5</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Праћење примене и утицаја Закона о заштити потрошача "Службени гласник РС", број 62/14) на пословање привредних субјеката</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Спроведена анализа могућности измене Закона о заштити потрошача, тако да се смањи простор злоупотребе на штету продавца, уз пуно уважавање права потрошача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M7 - Подршка спровођењу регулаторне реформе на покрајинском и локалном нивоу</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Број</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Подршка ЈЛС у спровођењу новог правног оквира за планирање и изградњу и фаза обједињене процедуре које органи ЈЛС примењују у овој области</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Одржано минимум три обуке и обучено минимум 30 службеника ЈЛС</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 Пројекат за боље услове пословања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Подршка ЈЛС за укидање накнада које посебно оптерећују привреду</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ЈЛС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Укинуте накнаде које органи ЈЛС наплаћу</w:t>
            </w:r>
            <w:r w:rsidRPr="00AF22EC">
              <w:rPr>
                <w:rFonts w:ascii="Arial" w:eastAsia="Times New Roman" w:hAnsi="Arial" w:cs="Arial"/>
                <w:sz w:val="26"/>
                <w:szCs w:val="26"/>
                <w:lang w:eastAsia="sr-Latn-RS"/>
              </w:rPr>
              <w:softHyphen/>
              <w:t>ју за подношење пријава у вези са незаконитим поступањем њихових органа и организација, као и укидање накнада за које не постоји мерљива услуга коју орган ЈЛС пружа подносиоцима захтева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Реформа административних поступака које спроводе ЈЛС увођењем обавезе службеног прибављања података о регистрацији привредних субјеката, пореског идентификационог броја (у даљем тексту: ПИБ), ОП обрасца и др.</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ЈЛС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СКГО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ЈЛС укинуле праксу да управе јавних прихода траже од обвезника документацију која је већ јавно доступна на интернет страници АПР (подаци о регистрацији, ПИБ), као и податке који нису неопходни за поступак који спроводе (ОП образац, картон депонованих потписа)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AF22EC">
        <w:trPr>
          <w:tblCellSpacing w:w="0" w:type="dxa"/>
        </w:trPr>
        <w:tc>
          <w:tcPr>
            <w:tcW w:w="10057"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1.2 Димензија</w:t>
            </w:r>
            <w:r w:rsidRPr="00AF22EC">
              <w:rPr>
                <w:rFonts w:ascii="Arial" w:eastAsia="Times New Roman" w:hAnsi="Arial" w:cs="Arial"/>
                <w:sz w:val="26"/>
                <w:szCs w:val="26"/>
                <w:lang w:eastAsia="sr-Latn-RS"/>
              </w:rPr>
              <w:br/>
              <w:t>Специфични циљ</w:t>
            </w:r>
          </w:p>
        </w:tc>
        <w:tc>
          <w:tcPr>
            <w:tcW w:w="4446"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w:t>
            </w:r>
          </w:p>
        </w:tc>
        <w:tc>
          <w:tcPr>
            <w:tcW w:w="3969"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ефикасности спровођења административних поступака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446"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3969"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Измене и допуне регулаторног оквира којима се уређује спровођење административних поступака у органима државне управе, аутономних покрајина и локалних самоуправа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А1</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Измена и допуна Закона о државној управи ("Службени гласник РС", бр. 79/05, 101/07, 95/10 и 99/14) и других прописа којима се уређује спровођење административних поступака у органима државне управе, аутономних покрајина и локалних самоуправа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државне управе и локалне самоуправе</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обавезе свих органа власти који обављају одређена јавна овлашћења да успоставе мапе административних поступака које се воде пред њима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обавезе да се на њиховим интернет презентацијама објави регистар свих административних поступака које спроводе, заједно са мапама тих поступака</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пројекта "Развој приватног сектора" ИПА 2013, од 2016. године - Уговор о услугама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Измена и допуна Закона о јавним предузећима ("Службени гласник РС", бр. 119/12, 116/13 - аутентично тумачење и 44/14 - др. закон) како би се прописала обавеза доношења мапа </w:t>
            </w:r>
            <w:r w:rsidRPr="00AF22EC">
              <w:rPr>
                <w:rFonts w:ascii="Arial" w:eastAsia="Times New Roman" w:hAnsi="Arial" w:cs="Arial"/>
                <w:sz w:val="26"/>
                <w:szCs w:val="26"/>
                <w:lang w:eastAsia="sr-Latn-RS"/>
              </w:rPr>
              <w:lastRenderedPageBreak/>
              <w:t>административних поступака у којима странке остварују одређена права и/или преузимају одређене обавезе за јавна предузећа која врше одређена јавна овлашћења</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привреде</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Уведена обавеза успостављања мапе административних поступака који се воде пред органима </w:t>
            </w:r>
            <w:r w:rsidRPr="00AF22EC">
              <w:rPr>
                <w:rFonts w:ascii="Arial" w:eastAsia="Times New Roman" w:hAnsi="Arial" w:cs="Arial"/>
                <w:sz w:val="26"/>
                <w:szCs w:val="26"/>
                <w:lang w:eastAsia="sr-Latn-RS"/>
              </w:rPr>
              <w:lastRenderedPageBreak/>
              <w:t>јавних предузећа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обавезе за јавна предузећа да на својим интернет презентацијама објаве списак свих административних поступака које спроводе, заједно са мапама тих поступака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Измена Правилника о начину и поступ</w:t>
            </w:r>
            <w:r w:rsidRPr="00AF22EC">
              <w:rPr>
                <w:rFonts w:ascii="Arial" w:eastAsia="Times New Roman" w:hAnsi="Arial" w:cs="Arial"/>
                <w:sz w:val="26"/>
                <w:szCs w:val="26"/>
                <w:lang w:eastAsia="sr-Latn-RS"/>
              </w:rPr>
              <w:softHyphen/>
              <w:t>ку остваривања права из обавезног здравственог осигурања ("Службени гласник РС", бр. 10/10, 18/10 - исправка, 46/10, 52/10 - исправка, 80/10, 60/11 - УС и 1/13)</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Републички фонд за здравствено осигурање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Централни регистар обавезног социјалног осигурања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Створени услови за електронску проверу уплаћених доприноса и стажа осигурања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Смањен број докумената на основу којих се врши остваривање права на накнаде зараде за време привремене спречености за рад - укинути </w:t>
            </w:r>
            <w:r w:rsidRPr="00AF22EC">
              <w:rPr>
                <w:rFonts w:ascii="Arial" w:eastAsia="Times New Roman" w:hAnsi="Arial" w:cs="Arial"/>
                <w:sz w:val="26"/>
                <w:szCs w:val="26"/>
                <w:lang w:eastAsia="sr-Latn-RS"/>
              </w:rPr>
              <w:lastRenderedPageBreak/>
              <w:t>обавезу подношења доказа да је доспели допринос плаћен, као и обавезу подношења доказа о претходном стажу осигурања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Реформа прописа којима се уређује област државне управе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државне управе и локалне самоуправе</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Изменама Закона о државној управи којим се уводи забрана органима државне управе да, у поступку решавања о правима, обавезама или правним интересима физичког или правног лица, од странака захтевају достављање података из евиденција или регистара које воде други органи државне управе, </w:t>
            </w:r>
            <w:r w:rsidRPr="00AF22EC">
              <w:rPr>
                <w:rFonts w:ascii="Arial" w:eastAsia="Times New Roman" w:hAnsi="Arial" w:cs="Arial"/>
                <w:sz w:val="26"/>
                <w:szCs w:val="26"/>
                <w:lang w:eastAsia="sr-Latn-RS"/>
              </w:rPr>
              <w:lastRenderedPageBreak/>
              <w:t>органи територијалне аутономије или локалне самоуправе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Прописане санкције за непоштовање ове забране</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Реформа прописа који уређују остваривање права на накнаду зараде за време породиљског одсуства, одсуства са рада ради неге детета и одсуства са рада ради посебне неге детета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за рад, запошљавање, борачка и социјална питања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Смањен број докумената које је потребно доставити ради остваривања права на новчану накнаду за време породиљског одсуства (укинута обавеза подношења извода из матичне књиге рођених, уговора о раду, фотокопије пријаве за пензијско и инвалидско односно здравствено осигурање, фотокопије радне </w:t>
            </w:r>
            <w:r w:rsidRPr="00AF22EC">
              <w:rPr>
                <w:rFonts w:ascii="Arial" w:eastAsia="Times New Roman" w:hAnsi="Arial" w:cs="Arial"/>
                <w:sz w:val="26"/>
                <w:szCs w:val="26"/>
                <w:lang w:eastAsia="sr-Latn-RS"/>
              </w:rPr>
              <w:lastRenderedPageBreak/>
              <w:t>књижице и потврде о броју запослених)</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А6</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Оснаживање заштите права привредних субјеката у поступцима пред јавном управом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Заштитник грађана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2015 2016</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механизам за стални дијалог између представника привреде, јавне управе и Заштитника грађана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ефикасан систем за разматрање притужби привредних субјеката на рад органа јавне управе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програм обука и радионица на тему заштите права привредних субјеката од "лоше управе"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Одржане минимум </w:t>
            </w:r>
            <w:r w:rsidRPr="00AF22EC">
              <w:rPr>
                <w:rFonts w:ascii="Arial" w:eastAsia="Times New Roman" w:hAnsi="Arial" w:cs="Arial"/>
                <w:sz w:val="26"/>
                <w:szCs w:val="26"/>
                <w:lang w:eastAsia="sr-Latn-RS"/>
              </w:rPr>
              <w:lastRenderedPageBreak/>
              <w:t>три обуке и радионице у организацији ПКС, Министарства привреде и Заштитника грађана у 2015. години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програм обука и радионица које ће се одржавати преко регионалних и локалних организација од 2016. године</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Наставак рада на јачању система електронске управе</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јединствене, свеобухватне и ажурне електронске базе административних поступака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Дирекција за електронску управу у сарадњи са републичким органима и организацијама које спроводе законске процедуре </w:t>
            </w:r>
            <w:r w:rsidRPr="00AF22EC">
              <w:rPr>
                <w:rFonts w:ascii="Arial" w:eastAsia="Times New Roman" w:hAnsi="Arial" w:cs="Arial"/>
                <w:sz w:val="26"/>
                <w:szCs w:val="26"/>
                <w:lang w:eastAsia="sr-Latn-RS"/>
              </w:rPr>
              <w:lastRenderedPageBreak/>
              <w:t>према трећим лицима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Израда неопходних подзаконских аката ради омогућавања успостављања јединствене базе администра</w:t>
            </w:r>
            <w:r w:rsidRPr="00AF22EC">
              <w:rPr>
                <w:rFonts w:ascii="Arial" w:eastAsia="Times New Roman" w:hAnsi="Arial" w:cs="Arial"/>
                <w:sz w:val="26"/>
                <w:szCs w:val="26"/>
                <w:lang w:eastAsia="sr-Latn-RS"/>
              </w:rPr>
              <w:lastRenderedPageBreak/>
              <w:t>тивних поступака на Порталу е-управа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Успостављена јединствена база административних поступака на Порталу е-управа - сакупљене и објављене мапе административних поступака и то минимално за грађевинске дозволе, енергетске дозволе, дозволе за управљање отпадом, радне дозволе за странце, дозволе за геолошка истраживања и рударство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Омогућити издавање различитих врста уверења електронским путем уз сертификован </w:t>
            </w:r>
            <w:r w:rsidRPr="00AF22EC">
              <w:rPr>
                <w:rFonts w:ascii="Arial" w:eastAsia="Times New Roman" w:hAnsi="Arial" w:cs="Arial"/>
                <w:sz w:val="26"/>
                <w:szCs w:val="26"/>
                <w:lang w:eastAsia="sr-Latn-RS"/>
              </w:rPr>
              <w:lastRenderedPageBreak/>
              <w:t>електронски потпис или тренутно на шалтеру органа</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финансија - Пореска управа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правде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државне управе и локалне самоуправе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АПР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Министарство правде - измена Судског пословника тако да се омогући </w:t>
            </w:r>
            <w:r w:rsidRPr="00AF22EC">
              <w:rPr>
                <w:rFonts w:ascii="Arial" w:eastAsia="Times New Roman" w:hAnsi="Arial" w:cs="Arial"/>
                <w:sz w:val="26"/>
                <w:szCs w:val="26"/>
                <w:lang w:eastAsia="sr-Latn-RS"/>
              </w:rPr>
              <w:lastRenderedPageBreak/>
              <w:t>издавање уверења да се против лица не води кривични или прекршајни поступак, односно уверења да да ли је лице у одређеном периоду кажњавано за прекршај или привредни преступ електронским путем уз сертификован електронски потпис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Омогућен ефикасан процес издавања различитих врста уверења, потврда, и других докумената у целој држави како електронским путем, тако и личним одласком на шалтер </w:t>
            </w:r>
            <w:r w:rsidRPr="00AF22EC">
              <w:rPr>
                <w:rFonts w:ascii="Arial" w:eastAsia="Times New Roman" w:hAnsi="Arial" w:cs="Arial"/>
                <w:sz w:val="26"/>
                <w:szCs w:val="26"/>
                <w:lang w:eastAsia="sr-Latn-RS"/>
              </w:rPr>
              <w:lastRenderedPageBreak/>
              <w:t>надлежног органа и то за следеће органе и организације: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Пореска управа - потврда о извршеној пореској обавези; АПР - извод из Регистра и потврда да није изречена мера забране обављања делатности</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Омогућити електронску регистрацију привредних субјеката</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АПР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Обезбеђени предуслови (сачињавање електронске документације, подношење електронских пријава, јавнобележничка овера електронских докумената, електронска наплата накнаде за поступак регистрациј</w:t>
            </w:r>
            <w:r w:rsidRPr="00AF22EC">
              <w:rPr>
                <w:rFonts w:ascii="Arial" w:eastAsia="Times New Roman" w:hAnsi="Arial" w:cs="Arial"/>
                <w:sz w:val="26"/>
                <w:szCs w:val="26"/>
                <w:lang w:eastAsia="sr-Latn-RS"/>
              </w:rPr>
              <w:lastRenderedPageBreak/>
              <w:t>е) за подношење регистрационе пријаве електронским путем у складу са Законом о поступку регистрације у Агенцији за привредне регистре ("Службени гласник РС", бр. 99/11 и 83/14)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Сопствени приходи Агенције за привредне регистре (приходи од накнада)</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Омогућити електронску регистрацију уговора о финансијском лизингу и уговора о заложном праву (Регистар финансијског лизинга и Регистар залоге)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АПР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механизам за електронску регистрацију уговора о финансијском лизингу и уговора о заложном праву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Сопствени приходи Агенције за привредне регистре (приходи од накнада)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А5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Омогућити електронско подношење годишњих финансијских извештаја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АПР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 2015. години започети процес увођења електронског потписа у систем регистрациј</w:t>
            </w:r>
            <w:r w:rsidRPr="00AF22EC">
              <w:rPr>
                <w:rFonts w:ascii="Arial" w:eastAsia="Times New Roman" w:hAnsi="Arial" w:cs="Arial"/>
                <w:sz w:val="26"/>
                <w:szCs w:val="26"/>
                <w:lang w:eastAsia="sr-Latn-RS"/>
              </w:rPr>
              <w:lastRenderedPageBreak/>
              <w:t>е финансијских извештаја да би се до краја те године електронско подношење финансијских извештаја омогућило у односу на око 12.000 великих, средњих и малих привредних субјеката сходно Закону о рачуноводству ("Службени гласник РС", број 62/13)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 1. јануара 2016. године ова обавеза се успоставља на свих 160.000 правних лица - обвезника подношења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Сопствени приходи Агенције за привредне регистре (приходи од накнада) уз подршку пројекта </w:t>
            </w:r>
            <w:r w:rsidRPr="00AF22EC">
              <w:rPr>
                <w:rFonts w:ascii="Arial" w:eastAsia="Times New Roman" w:hAnsi="Arial" w:cs="Arial"/>
                <w:sz w:val="26"/>
                <w:szCs w:val="26"/>
                <w:lang w:eastAsia="sr-Latn-RS"/>
              </w:rPr>
              <w:lastRenderedPageBreak/>
              <w:t>"Развој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А6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Електронска пријава пореза на добит правних </w:t>
            </w:r>
            <w:r w:rsidRPr="00AF22EC">
              <w:rPr>
                <w:rFonts w:ascii="Arial" w:eastAsia="Times New Roman" w:hAnsi="Arial" w:cs="Arial"/>
                <w:sz w:val="26"/>
                <w:szCs w:val="26"/>
                <w:lang w:eastAsia="sr-Latn-RS"/>
              </w:rPr>
              <w:lastRenderedPageBreak/>
              <w:t>лица, пореза на приходе од самосталне делатности на које се порез плаћа паушалним опорезивањем и пореза на приход од самосталних делатности за предузетнике који воде пословне књиге, пореза на пренос апсолутних права, као и организовање екстерних и интерних обука за коришћење електронских сервиса за подношење пореских пријава у електронском облику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Министарство финансија - </w:t>
            </w:r>
            <w:r w:rsidRPr="00AF22EC">
              <w:rPr>
                <w:rFonts w:ascii="Arial" w:eastAsia="Times New Roman" w:hAnsi="Arial" w:cs="Arial"/>
                <w:sz w:val="26"/>
                <w:szCs w:val="26"/>
                <w:lang w:eastAsia="sr-Latn-RS"/>
              </w:rPr>
              <w:lastRenderedPageBreak/>
              <w:t>Пореска управа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Потпуно успоставља</w:t>
            </w:r>
            <w:r w:rsidRPr="00AF22EC">
              <w:rPr>
                <w:rFonts w:ascii="Arial" w:eastAsia="Times New Roman" w:hAnsi="Arial" w:cs="Arial"/>
                <w:sz w:val="26"/>
                <w:szCs w:val="26"/>
                <w:lang w:eastAsia="sr-Latn-RS"/>
              </w:rPr>
              <w:lastRenderedPageBreak/>
              <w:t>ње система електронске пријаве за: порез на добит правних лица и годишњи порез на доходак грађана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Одржано минимум две обуке за коришћење електронских сервиса за подношење пореских пријава у електронском облику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r w:rsidRPr="00AF22EC">
              <w:rPr>
                <w:rFonts w:ascii="Arial" w:eastAsia="Times New Roman" w:hAnsi="Arial" w:cs="Arial"/>
                <w:sz w:val="26"/>
                <w:szCs w:val="26"/>
                <w:lang w:eastAsia="sr-Latn-RS"/>
              </w:rPr>
              <w:br/>
              <w:t>Потпуно успостављање система електронске пријаве за све наведене порезе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Одржано минимум две обуке за коришћење електронских сервиса за подношење пореских </w:t>
            </w:r>
            <w:r w:rsidRPr="00AF22EC">
              <w:rPr>
                <w:rFonts w:ascii="Arial" w:eastAsia="Times New Roman" w:hAnsi="Arial" w:cs="Arial"/>
                <w:sz w:val="26"/>
                <w:szCs w:val="26"/>
                <w:lang w:eastAsia="sr-Latn-RS"/>
              </w:rPr>
              <w:lastRenderedPageBreak/>
              <w:t>пријава у електронском облику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w:t>
            </w:r>
            <w:r w:rsidRPr="00AF22EC">
              <w:rPr>
                <w:rFonts w:ascii="Arial" w:eastAsia="Times New Roman" w:hAnsi="Arial" w:cs="Arial"/>
                <w:sz w:val="26"/>
                <w:szCs w:val="26"/>
                <w:lang w:eastAsia="sr-Latn-RS"/>
              </w:rPr>
              <w:lastRenderedPageBreak/>
              <w:t>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А7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Унапређен портал јавних набавки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Управа за јавне набавке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порталу јавних набавки стављена у функцију могућност објављивања планова набавки наручилаца, објављивање набавки које се спроводе по међународним процедурама, унапређење претраге одлука Републичке комисије за заштиту права у поступцима јавних набавки, постављања регистра јавних уговора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А8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Спровођење обука и промовисање електронских јавних набавки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Управа за јавне набавке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Сви наручиоци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спроведених обука - две годишње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А9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Успостављање јединственог информационог </w:t>
            </w:r>
            <w:r w:rsidRPr="00AF22EC">
              <w:rPr>
                <w:rFonts w:ascii="Arial" w:eastAsia="Times New Roman" w:hAnsi="Arial" w:cs="Arial"/>
                <w:sz w:val="26"/>
                <w:szCs w:val="26"/>
                <w:lang w:eastAsia="sr-Latn-RS"/>
              </w:rPr>
              <w:lastRenderedPageBreak/>
              <w:t>система за инспекције Е - инспектор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Министарство државне управе и </w:t>
            </w:r>
            <w:r w:rsidRPr="00AF22EC">
              <w:rPr>
                <w:rFonts w:ascii="Arial" w:eastAsia="Times New Roman" w:hAnsi="Arial" w:cs="Arial"/>
                <w:sz w:val="26"/>
                <w:szCs w:val="26"/>
                <w:lang w:eastAsia="sr-Latn-RS"/>
              </w:rPr>
              <w:lastRenderedPageBreak/>
              <w:t>локалне самоуправе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информаци</w:t>
            </w:r>
            <w:r w:rsidRPr="00AF22EC">
              <w:rPr>
                <w:rFonts w:ascii="Arial" w:eastAsia="Times New Roman" w:hAnsi="Arial" w:cs="Arial"/>
                <w:sz w:val="26"/>
                <w:szCs w:val="26"/>
                <w:lang w:eastAsia="sr-Latn-RS"/>
              </w:rPr>
              <w:lastRenderedPageBreak/>
              <w:t>они систем за инспекцијске службе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w:t>
            </w:r>
            <w:r w:rsidRPr="00AF22EC">
              <w:rPr>
                <w:rFonts w:ascii="Arial" w:eastAsia="Times New Roman" w:hAnsi="Arial" w:cs="Arial"/>
                <w:sz w:val="26"/>
                <w:szCs w:val="26"/>
                <w:lang w:eastAsia="sr-Latn-RS"/>
              </w:rPr>
              <w:lastRenderedPageBreak/>
              <w:t>редовна средства уз међународну подршку: УСАИД БЕП - Пројекат за боље услове пословања, Светска банка, ИПА фондови и други донатори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А10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Доношење инструкције у вези са издавањем пореских уверења у вези са измиреним пореским обавезама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 Пореска управа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Издавање пореског уверења одмах на лицу места пореским обвезницима који немају никакво дуговање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Омогућавање издавања пореског уверења електронским путем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Успостављање једношалтерског система за пружање што већег броја услуга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Успостављање једношалтерског система за дозволе </w:t>
            </w:r>
            <w:r w:rsidRPr="00AF22EC">
              <w:rPr>
                <w:rFonts w:ascii="Arial" w:eastAsia="Times New Roman" w:hAnsi="Arial" w:cs="Arial"/>
                <w:sz w:val="26"/>
                <w:szCs w:val="26"/>
                <w:lang w:eastAsia="sr-Latn-RS"/>
              </w:rPr>
              <w:lastRenderedPageBreak/>
              <w:t>у поступку грађења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Министарство грађевинарства, саобраћаја и </w:t>
            </w:r>
            <w:r w:rsidRPr="00AF22EC">
              <w:rPr>
                <w:rFonts w:ascii="Arial" w:eastAsia="Times New Roman" w:hAnsi="Arial" w:cs="Arial"/>
                <w:sz w:val="26"/>
                <w:szCs w:val="26"/>
                <w:lang w:eastAsia="sr-Latn-RS"/>
              </w:rPr>
              <w:lastRenderedPageBreak/>
              <w:t>инфраструктуре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СКГО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ЈЛС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једношалте</w:t>
            </w:r>
            <w:r w:rsidRPr="00AF22EC">
              <w:rPr>
                <w:rFonts w:ascii="Arial" w:eastAsia="Times New Roman" w:hAnsi="Arial" w:cs="Arial"/>
                <w:sz w:val="26"/>
                <w:szCs w:val="26"/>
                <w:lang w:eastAsia="sr-Latn-RS"/>
              </w:rPr>
              <w:lastRenderedPageBreak/>
              <w:t>рски систем - обједињена процедура издавања грађевинских дозвола у ЈЛС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w:t>
            </w:r>
            <w:r w:rsidRPr="00AF22EC">
              <w:rPr>
                <w:rFonts w:ascii="Arial" w:eastAsia="Times New Roman" w:hAnsi="Arial" w:cs="Arial"/>
                <w:sz w:val="26"/>
                <w:szCs w:val="26"/>
                <w:lang w:eastAsia="sr-Latn-RS"/>
              </w:rPr>
              <w:lastRenderedPageBreak/>
              <w:t>редовна средства уз подршку УСАИД БЕП - Пројекат за боље услове пословања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Спровести све неопходне активности за потпуно функционисање Централног регистра обавезног социјалног осигурања (у даљем тексту: ЦРОС) како би се информатички повезале Пореска управа и ЦРОС у делу који се односи на додатну контролу наплате доприноса по појединцу и усклађивање прописа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 ЦРОС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Републички фонд за пензијско и инвалидско осигурање (у даљем тексту: РФПИО)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Републички фонд за здравствено осигурање (у даљем тексту: РФЗО)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Пореска управа и ресорна министарства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Успостављена размена података између Пореске управе и ЦРОС и створени услови да ЦРОС доставља податке о плаћеним доприносима РФПИО за пензијско и инвалидско осигурање, РФЗО - за здравствено осигурање и Националне службе за запошљавање - за случај незапослености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Измењени потребни прописи ради </w:t>
            </w:r>
            <w:r w:rsidRPr="00AF22EC">
              <w:rPr>
                <w:rFonts w:ascii="Arial" w:eastAsia="Times New Roman" w:hAnsi="Arial" w:cs="Arial"/>
                <w:sz w:val="26"/>
                <w:szCs w:val="26"/>
                <w:lang w:eastAsia="sr-Latn-RS"/>
              </w:rPr>
              <w:lastRenderedPageBreak/>
              <w:t>несметаног успостављања система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 Праћење ефикасности реализације административних поступака и мерење административних трошкова привреде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Израда стандарда за мерење административног оптерећења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Републички секретаријат за јавне политике (у даљем тексту: 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и усвојен модел стандардних трошкова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-Пројекат за боље услове пословања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Израда упутства за примену модела стандардних трошкова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Израђено и електронски доступно упутство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-Пројекат за боље услове пословања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Доношење или измена одговарајућих аката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Републички секретаријат </w:t>
            </w:r>
            <w:r w:rsidRPr="00AF22EC">
              <w:rPr>
                <w:rFonts w:ascii="Arial" w:eastAsia="Times New Roman" w:hAnsi="Arial" w:cs="Arial"/>
                <w:sz w:val="26"/>
                <w:szCs w:val="26"/>
                <w:lang w:eastAsia="sr-Latn-RS"/>
              </w:rPr>
              <w:lastRenderedPageBreak/>
              <w:t>за законодавство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Генерални секретаријат Владе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Уведена обавеза за предлагача прописа да, приликом доношења новог или измена </w:t>
            </w:r>
            <w:r w:rsidRPr="00AF22EC">
              <w:rPr>
                <w:rFonts w:ascii="Arial" w:eastAsia="Times New Roman" w:hAnsi="Arial" w:cs="Arial"/>
                <w:sz w:val="26"/>
                <w:szCs w:val="26"/>
                <w:lang w:eastAsia="sr-Latn-RS"/>
              </w:rPr>
              <w:lastRenderedPageBreak/>
              <w:t>важећег прописа, образложи које се ново оптерећење или обавеза уводи за привреду, као и које се важеће оптерећење њиме увећава, смањује или укида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M5 - Побољшање услове за учешће МСПП у јавним набавкама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Спровођење обука о унапређењу међусобне информисаности наручилаца и понуђача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Управа за јавне набавке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спроведених обука - две годишње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Смернице за повећање учешћа МСПП у поступцима јавних набавки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Управа за јавне набавке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Усвојене Смернице за повећање учешћа МСПП у поступцима јавних набавки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w:t>
            </w:r>
          </w:p>
        </w:tc>
      </w:tr>
      <w:tr w:rsidR="00AF22EC" w:rsidRPr="00AF22EC" w:rsidTr="00AF22EC">
        <w:trPr>
          <w:tblCellSpacing w:w="0" w:type="dxa"/>
        </w:trPr>
        <w:tc>
          <w:tcPr>
            <w:tcW w:w="10057"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1.3 Димензија</w:t>
            </w:r>
            <w:r w:rsidRPr="00AF22EC">
              <w:rPr>
                <w:rFonts w:ascii="Arial" w:eastAsia="Times New Roman" w:hAnsi="Arial" w:cs="Arial"/>
                <w:sz w:val="26"/>
                <w:szCs w:val="26"/>
                <w:lang w:eastAsia="sr-Latn-RS"/>
              </w:rPr>
              <w:br/>
              <w:t>Специфични циљ </w:t>
            </w:r>
          </w:p>
        </w:tc>
        <w:tc>
          <w:tcPr>
            <w:tcW w:w="4446"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 </w:t>
            </w:r>
          </w:p>
        </w:tc>
        <w:tc>
          <w:tcPr>
            <w:tcW w:w="3969"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Повећање транспарентности процеса доношења прописа и јавних политика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446"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3969"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Обавезно укључивање представника привреде у процес припреме прописа и јавних политика и повећање предвидљивости промена услова пословања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Припремљене и усвојене смернице у циљу веће предвидивости правног оквира пословања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Усвојене смернице којим Влада препоручује органима државне управе да приликом припреме прописа који утичу на привреду и пословно окружење предвиде ступање на снагу тих прописа на два тачно одређена датума у току године уз изузетке у којима се може одступити од тог правила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-Пројекат за боље услове пословања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Одржавање јавне расправе у складу са Пословником Владе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Надлежни органи државне управе, надлежне </w:t>
            </w:r>
            <w:r w:rsidRPr="00AF22EC">
              <w:rPr>
                <w:rFonts w:ascii="Arial" w:eastAsia="Times New Roman" w:hAnsi="Arial" w:cs="Arial"/>
                <w:sz w:val="26"/>
                <w:szCs w:val="26"/>
                <w:lang w:eastAsia="sr-Latn-RS"/>
              </w:rPr>
              <w:lastRenderedPageBreak/>
              <w:t>службе и тела Владе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Јавна расправа спроведена за 80% законских предлога </w:t>
            </w:r>
            <w:r w:rsidRPr="00AF22EC">
              <w:rPr>
                <w:rFonts w:ascii="Arial" w:eastAsia="Times New Roman" w:hAnsi="Arial" w:cs="Arial"/>
                <w:sz w:val="26"/>
                <w:szCs w:val="26"/>
                <w:lang w:eastAsia="sr-Latn-RS"/>
              </w:rPr>
              <w:lastRenderedPageBreak/>
              <w:t>који имају утицај на пословно окружење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Укључивање представника привреде у све фазе припреме прописа који утичу на пословно окружење, посебно у оквиру радних група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Републички секретаријат за законодавство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Генерални секретаријат Владе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Одговарајућим актом предвиђена обавеза да предлагачи прописа приликом предлагања прописа јасно назначе колико представника привреде је учествовало у раду радне групе која је припремала нацрт закона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Стални дијалог ЈЛС са представницима привредног сектора ради сарадње и координације на питањима од значајна за привреду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ЈЛС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Дијалог остварен на територији 40% ЈЛС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 истом проценту организована партнерстава локалне привреде и ЈЛС за подршку локалној привреди (пословни савети, </w:t>
            </w:r>
            <w:r w:rsidRPr="00AF22EC">
              <w:rPr>
                <w:rFonts w:ascii="Arial" w:eastAsia="Times New Roman" w:hAnsi="Arial" w:cs="Arial"/>
                <w:sz w:val="26"/>
                <w:szCs w:val="26"/>
                <w:lang w:eastAsia="sr-Latn-RS"/>
              </w:rPr>
              <w:lastRenderedPageBreak/>
              <w:t>јавно-приватна партнерства)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активности Форума МСПП ПКС у дијалогу са Владом и Министарством привреде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Одржан најмање један састанак годишње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ПКС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А6</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Редовно информисање представника привреде о току преговора о придруживању Европској унији (у даљем тексту: ЕУ) - поглавља која директно утичу на пословање МСПП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Канцеларија за европске интеграције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ресорна министарства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Одржано најмање два састанака годишње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ПКС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Образовање Савета за мала и средња предузећа, предузетништво и конкурентност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Образовање Савета за мала и средња предузећа, предузетништво и конкурентност од стране Владе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Влада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Образован Савет за мала и средња предузећа, предузетништво и конкурентност чији су чланови </w:t>
            </w:r>
            <w:r w:rsidRPr="00AF22EC">
              <w:rPr>
                <w:rFonts w:ascii="Arial" w:eastAsia="Times New Roman" w:hAnsi="Arial" w:cs="Arial"/>
                <w:sz w:val="26"/>
                <w:szCs w:val="26"/>
                <w:lang w:eastAsia="sr-Latn-RS"/>
              </w:rPr>
              <w:lastRenderedPageBreak/>
              <w:t>представници ресорних министарстава, пословних удружења, научне заједнице, који се састаје на кварталном нивоу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редовна средства уз подршку УСАИД БЕП -Пројекат за боље </w:t>
            </w:r>
            <w:r w:rsidRPr="00AF22EC">
              <w:rPr>
                <w:rFonts w:ascii="Arial" w:eastAsia="Times New Roman" w:hAnsi="Arial" w:cs="Arial"/>
                <w:sz w:val="26"/>
                <w:szCs w:val="26"/>
                <w:lang w:eastAsia="sr-Latn-RS"/>
              </w:rPr>
              <w:lastRenderedPageBreak/>
              <w:t>услове пословања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Успостављање механизма за праћење ефеката примене прописа који утичу на пословно окружење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механизма за обавезно спровођење "ex пост" анализе ефеката најзначајнијих прописа који утичу на привреду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Републички секретаријат за законодавство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Генерални секретаријат Владе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Усвојена измена и допуна одговарајућег акта и утврђена обавеза достављања извештаја и "ex пост" анализе од стране ресорног министарства РСЈП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05 Уз подршку ИПА пројекта - Реформа координације политика и "центра" Владе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Унапређење методолошке и аналитичке базе за праћење кретања у привреди, доношења одлука и праћење ефеката примене прописа </w:t>
            </w:r>
            <w:r w:rsidRPr="00AF22EC">
              <w:rPr>
                <w:rFonts w:ascii="Arial" w:eastAsia="Times New Roman" w:hAnsi="Arial" w:cs="Arial"/>
                <w:sz w:val="26"/>
                <w:szCs w:val="26"/>
                <w:lang w:eastAsia="sr-Latn-RS"/>
              </w:rPr>
              <w:lastRenderedPageBreak/>
              <w:t>који утичу на привреду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Републички завод за статистику (у даљем тексту: РЗС)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Донета методологија за праћење кретања у привреди и праћење ефеката прописа </w:t>
            </w:r>
            <w:r w:rsidRPr="00AF22EC">
              <w:rPr>
                <w:rFonts w:ascii="Arial" w:eastAsia="Times New Roman" w:hAnsi="Arial" w:cs="Arial"/>
                <w:sz w:val="26"/>
                <w:szCs w:val="26"/>
                <w:lang w:eastAsia="sr-Latn-RS"/>
              </w:rPr>
              <w:lastRenderedPageBreak/>
              <w:t>који утичу на привреду ради креирања јавних политика и припреме прописа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415"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 Укључивање теста утицаја на мала и средња предузећа (у даљем тексту: МСП) у анализу ефеката прописа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48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55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Утврђивање методологије за одређивање утицаја прописа на привреду, а посебно на МСПП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Републички секретаријат за законодавство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Генерални секретаријат Владе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Утврђена методологија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БЕП-Пројекат за боље услове пословања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Одржавање обука за примену методологије за одређивање утицаја прописа на МСП (у даљем тексту: Тест МСП)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Служба за управљање кадровима (Центар за стручно усавршавање)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Донет програм обука и одржавање обука - број обука спроведених у 2015. години - најмање две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Од 2016. године увести </w:t>
            </w:r>
            <w:r w:rsidRPr="00AF22EC">
              <w:rPr>
                <w:rFonts w:ascii="Arial" w:eastAsia="Times New Roman" w:hAnsi="Arial" w:cs="Arial"/>
                <w:sz w:val="26"/>
                <w:szCs w:val="26"/>
                <w:lang w:eastAsia="sr-Latn-RS"/>
              </w:rPr>
              <w:lastRenderedPageBreak/>
              <w:t>правило да се овакве обуке одржавају редовно по предвиђеном програму Службе за управљање кадровима, а најмање једном у три месеца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Пилот анализе ефеката прописа у коју би био укључен Тест МСП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Урађене анализе минимум код три прописа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пројекта "Развој приватног сектора" ИПА 2013, од 2016. године - Уговор о услугама </w:t>
            </w:r>
          </w:p>
        </w:tc>
      </w:tr>
      <w:tr w:rsidR="00AF22EC" w:rsidRPr="00AF22EC" w:rsidTr="00AF22EC">
        <w:trPr>
          <w:tblCellSpacing w:w="0" w:type="dxa"/>
        </w:trPr>
        <w:tc>
          <w:tcPr>
            <w:tcW w:w="16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 </w:t>
            </w:r>
          </w:p>
        </w:tc>
        <w:tc>
          <w:tcPr>
            <w:tcW w:w="248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Доношење или измене одговарајућег акта како би се Тест МСП укључио као обавезан елемент анализе ефеката прописа </w:t>
            </w:r>
          </w:p>
        </w:tc>
        <w:tc>
          <w:tcPr>
            <w:tcW w:w="19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РСЈП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Републички секретаријат за законодавство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Генерални секретаријат Владе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55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Тест МСП уведен као обавезан део анализе ефеката прописа за све прописе за које се према унапред утврђеним критеријумима утврди да могу имати </w:t>
            </w:r>
            <w:r w:rsidRPr="00AF22EC">
              <w:rPr>
                <w:rFonts w:ascii="Arial" w:eastAsia="Times New Roman" w:hAnsi="Arial" w:cs="Arial"/>
                <w:sz w:val="26"/>
                <w:szCs w:val="26"/>
                <w:lang w:eastAsia="sr-Latn-RS"/>
              </w:rPr>
              <w:lastRenderedPageBreak/>
              <w:t>значајан утицај на пословање МСПП </w:t>
            </w:r>
          </w:p>
        </w:tc>
        <w:tc>
          <w:tcPr>
            <w:tcW w:w="156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05 Уз подршку ИПА пројекта - Реформа координације политика и "центра" Владе </w:t>
            </w:r>
          </w:p>
        </w:tc>
      </w:tr>
    </w:tbl>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lastRenderedPageBreak/>
        <w:t>  </w:t>
      </w:r>
    </w:p>
    <w:tbl>
      <w:tblPr>
        <w:tblW w:w="10198" w:type="dxa"/>
        <w:tblCellSpacing w:w="0" w:type="dxa"/>
        <w:tblBorders>
          <w:top w:val="inset" w:sz="6" w:space="0" w:color="000000"/>
          <w:left w:val="inset" w:sz="6" w:space="0" w:color="000000"/>
          <w:bottom w:val="inset" w:sz="6" w:space="0" w:color="000000"/>
          <w:right w:val="in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410"/>
        <w:gridCol w:w="2268"/>
        <w:gridCol w:w="1984"/>
        <w:gridCol w:w="851"/>
        <w:gridCol w:w="1984"/>
        <w:gridCol w:w="1701"/>
      </w:tblGrid>
      <w:tr w:rsidR="00AF22EC" w:rsidRPr="00AF22EC" w:rsidTr="00B661BB">
        <w:trPr>
          <w:tblCellSpacing w:w="0" w:type="dxa"/>
        </w:trPr>
        <w:tc>
          <w:tcPr>
            <w:tcW w:w="10198"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240" w:after="240" w:line="240" w:lineRule="auto"/>
              <w:jc w:val="center"/>
              <w:rPr>
                <w:rFonts w:ascii="Arial" w:eastAsia="Times New Roman" w:hAnsi="Arial" w:cs="Arial"/>
                <w:b/>
                <w:bCs/>
                <w:sz w:val="29"/>
                <w:szCs w:val="29"/>
                <w:lang w:eastAsia="sr-Latn-RS"/>
              </w:rPr>
            </w:pPr>
            <w:bookmarkStart w:id="22" w:name="str_22"/>
            <w:bookmarkEnd w:id="22"/>
            <w:r w:rsidRPr="00AF22EC">
              <w:rPr>
                <w:rFonts w:ascii="Arial" w:eastAsia="Times New Roman" w:hAnsi="Arial" w:cs="Arial"/>
                <w:b/>
                <w:bCs/>
                <w:sz w:val="29"/>
                <w:szCs w:val="29"/>
                <w:lang w:eastAsia="sr-Latn-RS"/>
              </w:rPr>
              <w:t>Стуб 2 </w:t>
            </w:r>
          </w:p>
          <w:p w:rsidR="00AF22EC" w:rsidRPr="00AF22EC" w:rsidRDefault="00AF22EC" w:rsidP="00AF22EC">
            <w:pPr>
              <w:spacing w:before="240" w:after="240" w:line="240" w:lineRule="auto"/>
              <w:jc w:val="center"/>
              <w:rPr>
                <w:rFonts w:ascii="Arial" w:eastAsia="Times New Roman" w:hAnsi="Arial" w:cs="Arial"/>
                <w:b/>
                <w:bCs/>
                <w:sz w:val="29"/>
                <w:szCs w:val="29"/>
                <w:lang w:eastAsia="sr-Latn-RS"/>
              </w:rPr>
            </w:pPr>
            <w:r w:rsidRPr="00AF22EC">
              <w:rPr>
                <w:rFonts w:ascii="Arial" w:eastAsia="Times New Roman" w:hAnsi="Arial" w:cs="Arial"/>
                <w:b/>
                <w:bCs/>
                <w:sz w:val="29"/>
                <w:szCs w:val="29"/>
                <w:lang w:eastAsia="sr-Latn-RS"/>
              </w:rPr>
              <w:t>ОПШТИ ЦИЉ - УНАПРЕЂЕЊЕ ПРИСТУПА ИЗВОРИМА ФИНАНСИРАЊА </w:t>
            </w:r>
          </w:p>
        </w:tc>
      </w:tr>
      <w:tr w:rsidR="00AF22EC" w:rsidRPr="00AF22EC" w:rsidTr="00B661BB">
        <w:trPr>
          <w:tblCellSpacing w:w="0" w:type="dxa"/>
        </w:trPr>
        <w:tc>
          <w:tcPr>
            <w:tcW w:w="10198"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2.1 Димензија</w:t>
            </w:r>
            <w:r w:rsidRPr="00AF22EC">
              <w:rPr>
                <w:rFonts w:ascii="Arial" w:eastAsia="Times New Roman" w:hAnsi="Arial" w:cs="Arial"/>
                <w:sz w:val="26"/>
                <w:szCs w:val="26"/>
                <w:lang w:eastAsia="sr-Latn-RS"/>
              </w:rPr>
              <w:br/>
              <w:t>Специфични циљ </w:t>
            </w:r>
          </w:p>
        </w:tc>
        <w:tc>
          <w:tcPr>
            <w:tcW w:w="425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 </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B661BB">
            <w:pPr>
              <w:spacing w:before="100" w:beforeAutospacing="1" w:after="100" w:afterAutospacing="1" w:line="240" w:lineRule="auto"/>
              <w:ind w:right="993"/>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квалитета понуде банкарског сектора за МСПП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25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536"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M1 -Унапређење извршног поступака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Подршка ефикаснијој примени Закона о извршењу и обезбеђењу ("Службени гласник РС", бр. 31/11, 99/11 - др. закон, 109/13 - УС, 55/14 и 139/14)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правде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Комора извршитеља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Правосудна академија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Именовано 75% од укупног броја извршитеља предвиђеног Законом о извршењу и обезбеђењу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Настављена и унапређена обука извршитеља - више од 75% новоименованих извршитеља прошло обуку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Министарство правде радно ангажовало </w:t>
            </w:r>
            <w:r w:rsidRPr="00AF22EC">
              <w:rPr>
                <w:rFonts w:ascii="Arial" w:eastAsia="Times New Roman" w:hAnsi="Arial" w:cs="Arial"/>
                <w:sz w:val="26"/>
                <w:szCs w:val="26"/>
                <w:lang w:eastAsia="sr-Latn-RS"/>
              </w:rPr>
              <w:lastRenderedPageBreak/>
              <w:t>адекватан број запослених (два до три) за вршење надзора над радом извршитеља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правде донело план надзора на основу процене ризика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УСАИД БЕП -Пројекат за боље услове пословања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Наставити и унапредити обуке судија и судског особља у погледу примене Закона о извршењу и обезбеђењу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Правосудна академија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Више од 20% судија и судског особља до краја 2015. године прошло обуку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Реформа прописа који уређују област заложног права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Реформа прописа који уређују област заложног права на покретним стварима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правде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АПР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Уведена обавеза регистрације свих заложних права на покретним стварима (државинска и бездржавинска залога)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Унапређен поступак доставе, измењен законски оквир, тако да се </w:t>
            </w:r>
            <w:r w:rsidRPr="00AF22EC">
              <w:rPr>
                <w:rFonts w:ascii="Arial" w:eastAsia="Times New Roman" w:hAnsi="Arial" w:cs="Arial"/>
                <w:sz w:val="26"/>
                <w:szCs w:val="26"/>
                <w:lang w:eastAsia="sr-Latn-RS"/>
              </w:rPr>
              <w:lastRenderedPageBreak/>
              <w:t>онемогући дужницима да избегавањем пријема избегну извршење, детаљније регулисан поступак вансудског намирења потраживања које је обезбеђено заложним правом регистрованим у Регистру заложног права на покретним стварима и правима, детаљније регулисано заложно право на потраживањима и начини намирења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Организована најмање два промотивна догађаја у току године, у циљу промовисања веће употребе залоге, као средства обезбеђења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УСАИД БЕП -Пројекат за боље услове пословања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Припремити материјале и смернице за запослене у надлежним </w:t>
            </w:r>
            <w:r w:rsidRPr="00AF22EC">
              <w:rPr>
                <w:rFonts w:ascii="Arial" w:eastAsia="Times New Roman" w:hAnsi="Arial" w:cs="Arial"/>
                <w:sz w:val="26"/>
                <w:szCs w:val="26"/>
                <w:lang w:eastAsia="sr-Latn-RS"/>
              </w:rPr>
              <w:lastRenderedPageBreak/>
              <w:t>органима на тему Закона о хипотеци ("Службени гласник", број 115/05) у циљу смањења недоследности у поступању надлежних органа (суд, катастар и Пореска управа)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РГЗ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Удружење банака Србије (у даљем тексту: УБС)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Развијени и подељени материјали и смернице за обуку </w:t>
            </w:r>
            <w:r w:rsidRPr="00AF22EC">
              <w:rPr>
                <w:rFonts w:ascii="Arial" w:eastAsia="Times New Roman" w:hAnsi="Arial" w:cs="Arial"/>
                <w:sz w:val="26"/>
                <w:szCs w:val="26"/>
                <w:lang w:eastAsia="sr-Latn-RS"/>
              </w:rPr>
              <w:lastRenderedPageBreak/>
              <w:t>запослених у надлежним органима на тему Закона о хипотеци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Преко 80% релевантних службеника упознато са садржином материјала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Припремити и спровести специјализовану обуку запослених у надлежним органима (органи унутрашњих послова, тужилаштва, судови, итд) у погледу примене кривичних прописа ради спречавања злоупотреба, преварних радњи и бесправног отуђења заложне имовине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Правосудна академија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унутрашњих послова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Припремљени материјали и спроведена обука запослених у надлежним службама (четири обуке), у случајевима превременог отуђења заложне имовине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Материјали доступни свим запосленим у надлежним органима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Развити подстицајне мере и механизме како би банкарски сектор повећао кредитирање МСПП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Реализација програма подршке малим предузећима за набавку опреме у </w:t>
            </w:r>
            <w:r w:rsidRPr="00AF22EC">
              <w:rPr>
                <w:rFonts w:ascii="Arial" w:eastAsia="Times New Roman" w:hAnsi="Arial" w:cs="Arial"/>
                <w:sz w:val="26"/>
                <w:szCs w:val="26"/>
                <w:lang w:eastAsia="sr-Latn-RS"/>
              </w:rPr>
              <w:lastRenderedPageBreak/>
              <w:t>сарадњи са банкама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Пословна удружења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и спроведен програм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01 Приход из буџета</w:t>
            </w:r>
            <w:r w:rsidRPr="00AF22EC">
              <w:rPr>
                <w:rFonts w:ascii="Arial" w:eastAsia="Times New Roman" w:hAnsi="Arial" w:cs="Arial"/>
                <w:sz w:val="26"/>
                <w:szCs w:val="26"/>
                <w:lang w:eastAsia="sr-Latn-RS"/>
              </w:rPr>
              <w:br/>
              <w:t>Раздео 20</w:t>
            </w:r>
            <w:r w:rsidRPr="00AF22EC">
              <w:rPr>
                <w:rFonts w:ascii="Arial" w:eastAsia="Times New Roman" w:hAnsi="Arial" w:cs="Arial"/>
                <w:sz w:val="26"/>
                <w:szCs w:val="26"/>
                <w:lang w:eastAsia="sr-Latn-RS"/>
              </w:rPr>
              <w:br/>
              <w:t>Глава 20.0</w:t>
            </w:r>
            <w:r w:rsidRPr="00AF22EC">
              <w:rPr>
                <w:rFonts w:ascii="Arial" w:eastAsia="Times New Roman" w:hAnsi="Arial" w:cs="Arial"/>
                <w:sz w:val="26"/>
                <w:szCs w:val="26"/>
                <w:lang w:eastAsia="sr-Latn-RS"/>
              </w:rPr>
              <w:br/>
              <w:t>Програм 1504</w:t>
            </w:r>
            <w:r w:rsidRPr="00AF22EC">
              <w:rPr>
                <w:rFonts w:ascii="Arial" w:eastAsia="Times New Roman" w:hAnsi="Arial" w:cs="Arial"/>
                <w:sz w:val="26"/>
                <w:szCs w:val="26"/>
                <w:lang w:eastAsia="sr-Latn-RS"/>
              </w:rPr>
              <w:br/>
            </w:r>
            <w:r w:rsidRPr="00AF22EC">
              <w:rPr>
                <w:rFonts w:ascii="Arial" w:eastAsia="Times New Roman" w:hAnsi="Arial" w:cs="Arial"/>
                <w:sz w:val="26"/>
                <w:szCs w:val="26"/>
                <w:lang w:eastAsia="sr-Latn-RS"/>
              </w:rPr>
              <w:lastRenderedPageBreak/>
              <w:t>Функција 410</w:t>
            </w:r>
            <w:r w:rsidRPr="00AF22EC">
              <w:rPr>
                <w:rFonts w:ascii="Arial" w:eastAsia="Times New Roman" w:hAnsi="Arial" w:cs="Arial"/>
                <w:sz w:val="26"/>
                <w:szCs w:val="26"/>
                <w:lang w:eastAsia="sr-Latn-RS"/>
              </w:rPr>
              <w:br/>
              <w:t>Пројекат 4004</w:t>
            </w:r>
            <w:r w:rsidRPr="00AF22EC">
              <w:rPr>
                <w:rFonts w:ascii="Arial" w:eastAsia="Times New Roman" w:hAnsi="Arial" w:cs="Arial"/>
                <w:sz w:val="26"/>
                <w:szCs w:val="26"/>
                <w:lang w:eastAsia="sr-Latn-RS"/>
              </w:rPr>
              <w:br/>
              <w:t>Економска класификација 451: 200 милиона динара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дијалога између јавног и приватног сектора о повећању обима кредитирања МСПП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Пословна удружења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Организована четири округла стола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-Пројекат за боље услове пословања</w:t>
            </w:r>
            <w:r w:rsidRPr="00AF22EC">
              <w:rPr>
                <w:rFonts w:ascii="Arial" w:eastAsia="Times New Roman" w:hAnsi="Arial" w:cs="Arial"/>
                <w:sz w:val="26"/>
                <w:szCs w:val="26"/>
                <w:lang w:eastAsia="sr-Latn-RS"/>
              </w:rPr>
              <w:br/>
              <w:t>Буџет ПКС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 Оснаживање специјализованих професија у циљу добијања веродостојних финансијских података у процесу одобравања кредита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Стварање правног и институционалног оквира за успостављање струке проценитеља вредности непокретности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Национално удружење проценитеља Србије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Израђени и усвојени национални стандарди за процену некретнина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Израђен нови оквир за лиценцирање проценитеља у складу са стандардима ЕУ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 Пројекат за боље услове пословања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Успоставити националну базу </w:t>
            </w:r>
            <w:r w:rsidRPr="00AF22EC">
              <w:rPr>
                <w:rFonts w:ascii="Arial" w:eastAsia="Times New Roman" w:hAnsi="Arial" w:cs="Arial"/>
                <w:sz w:val="26"/>
                <w:szCs w:val="26"/>
                <w:lang w:eastAsia="sr-Latn-RS"/>
              </w:rPr>
              <w:lastRenderedPageBreak/>
              <w:t>података о трансакцијама везаним за непокретну имовину и те информације учинити доступним квалификованим проценитељима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Комора јавних бележника Србије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РГЗ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Израђен правни и </w:t>
            </w:r>
            <w:r w:rsidRPr="00AF22EC">
              <w:rPr>
                <w:rFonts w:ascii="Arial" w:eastAsia="Times New Roman" w:hAnsi="Arial" w:cs="Arial"/>
                <w:sz w:val="26"/>
                <w:szCs w:val="26"/>
                <w:lang w:eastAsia="sr-Latn-RS"/>
              </w:rPr>
              <w:lastRenderedPageBreak/>
              <w:t>институционални оквир за централизовано прикупљање информација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Развијен и успостављен систем за прикупљање и дистрибуцију информација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w:t>
            </w:r>
            <w:r w:rsidRPr="00AF22EC">
              <w:rPr>
                <w:rFonts w:ascii="Arial" w:eastAsia="Times New Roman" w:hAnsi="Arial" w:cs="Arial"/>
                <w:sz w:val="26"/>
                <w:szCs w:val="26"/>
                <w:lang w:eastAsia="sr-Latn-RS"/>
              </w:rPr>
              <w:lastRenderedPageBreak/>
              <w:t>Србије - редовна средства уз подршку УСАИД БЕП -Пројекат за боље услове пословања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Промовисање значаја и унапређење финансијског извештавања МСП кроз оснаживање њихових капацитета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промотивни материјал и одржана минимум два јавна скупа и спроведена јавна кампања у циљу промовисања значаја финансијског извештавања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Одржано минимум две обуке за примену међународних стандарда за финансијско извештавање (у даљем тексту: МСФИ) за МСП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Одржано минимум две обуке за примену МСФИ за средња правна лица која су се одлучила за </w:t>
            </w:r>
            <w:r w:rsidRPr="00AF22EC">
              <w:rPr>
                <w:rFonts w:ascii="Arial" w:eastAsia="Times New Roman" w:hAnsi="Arial" w:cs="Arial"/>
                <w:sz w:val="26"/>
                <w:szCs w:val="26"/>
                <w:lang w:eastAsia="sr-Latn-RS"/>
              </w:rPr>
              <w:lastRenderedPageBreak/>
              <w:t>коришћење МСФИ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Пројекат Швајцарске Владе (СЕЦО) уз координацију Светске банке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M5 - Побољшање праћења стања финансирања МСПП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Унапредити прикупљање и објављивање информација о финансирању МСП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Припремљена методологија за праћење финансирања МСП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Извештај објављен са информацијама о финансирању МСП, као што су извори финансирања, трендови, методи, цена капитала, проблеми са финансирањем, покренутним поступцима споразумног финансијског реструктурирања итд. (у оквиру годишњег извештаја о МСПП)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УСАИД БЕП -Пројекат за боље услове пословања Буџет ПКС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Обезбедити редовно праћење банкарског кредитирања МСПП и наставити прикупљање података за </w:t>
            </w:r>
            <w:r w:rsidRPr="00AF22EC">
              <w:rPr>
                <w:rFonts w:ascii="Arial" w:eastAsia="Times New Roman" w:hAnsi="Arial" w:cs="Arial"/>
                <w:sz w:val="26"/>
                <w:szCs w:val="26"/>
                <w:lang w:eastAsia="sr-Latn-RS"/>
              </w:rPr>
              <w:lastRenderedPageBreak/>
              <w:t>Србију у оквиру ОЕЦД СцореБоард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УБС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Измењена законска обавеза банака о извештавању НБС тако да обухвати и информисање </w:t>
            </w:r>
            <w:r w:rsidRPr="00AF22EC">
              <w:rPr>
                <w:rFonts w:ascii="Arial" w:eastAsia="Times New Roman" w:hAnsi="Arial" w:cs="Arial"/>
                <w:sz w:val="26"/>
                <w:szCs w:val="26"/>
                <w:lang w:eastAsia="sr-Latn-RS"/>
              </w:rPr>
              <w:lastRenderedPageBreak/>
              <w:t>о финансирању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НБС/УБ је у могућности да прикупи информације о кредитирању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Објављени подаци за Србију у годишњим ОЕЦД СцореБоард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редовна средства уз подршку УСАИД БЕП -Пројекат за </w:t>
            </w:r>
            <w:r w:rsidRPr="00AF22EC">
              <w:rPr>
                <w:rFonts w:ascii="Arial" w:eastAsia="Times New Roman" w:hAnsi="Arial" w:cs="Arial"/>
                <w:sz w:val="26"/>
                <w:szCs w:val="26"/>
                <w:lang w:eastAsia="sr-Latn-RS"/>
              </w:rPr>
              <w:lastRenderedPageBreak/>
              <w:t>боље услове пословања </w:t>
            </w:r>
          </w:p>
        </w:tc>
      </w:tr>
      <w:tr w:rsidR="00AF22EC" w:rsidRPr="00AF22EC" w:rsidTr="00B661BB">
        <w:trPr>
          <w:tblCellSpacing w:w="0" w:type="dxa"/>
        </w:trPr>
        <w:tc>
          <w:tcPr>
            <w:tcW w:w="10198"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2.2 Димензија</w:t>
            </w:r>
            <w:r w:rsidRPr="00AF22EC">
              <w:rPr>
                <w:rFonts w:ascii="Arial" w:eastAsia="Times New Roman" w:hAnsi="Arial" w:cs="Arial"/>
                <w:sz w:val="26"/>
                <w:szCs w:val="26"/>
                <w:lang w:eastAsia="sr-Latn-RS"/>
              </w:rPr>
              <w:br/>
              <w:t>Специфични циљ </w:t>
            </w:r>
          </w:p>
        </w:tc>
        <w:tc>
          <w:tcPr>
            <w:tcW w:w="425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 </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нових финансијских инструмената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25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536"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Развој нових модела финансирања МСПП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Спровести анализу потреба за успостављање алтернативних финансијских инструмената са предлогом инвестиционе стратегије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у сарадњи са Европском инвестиционом банком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Урађена процена тржишта финансијских инструмената и процена инвестиционих потреба за програмски период од 2014. до 2020. године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Предложена инвестициона </w:t>
            </w:r>
            <w:r w:rsidRPr="00AF22EC">
              <w:rPr>
                <w:rFonts w:ascii="Arial" w:eastAsia="Times New Roman" w:hAnsi="Arial" w:cs="Arial"/>
                <w:sz w:val="26"/>
                <w:szCs w:val="26"/>
                <w:lang w:eastAsia="sr-Latn-RS"/>
              </w:rPr>
              <w:lastRenderedPageBreak/>
              <w:t>стратегија тако да понуђени финансијски производи одговарају потребама тржишта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Промовисани резултати анализа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05 Донације од иностраних земаља - ИПА 2014 Израда припремне студије за потребу успостављања финансијских инструмената за МСП у </w:t>
            </w:r>
            <w:r w:rsidRPr="00AF22EC">
              <w:rPr>
                <w:rFonts w:ascii="Arial" w:eastAsia="Times New Roman" w:hAnsi="Arial" w:cs="Arial"/>
                <w:sz w:val="26"/>
                <w:szCs w:val="26"/>
                <w:lang w:eastAsia="sr-Latn-RS"/>
              </w:rPr>
              <w:lastRenderedPageBreak/>
              <w:t>Србији (150.000 евра)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Унапређење система издавања кредитних гаранција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Развити програм финансијских инструмената за обезбеђење кредита МСПП финансираних путем банкарских кредитних линија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концепт програма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Стварање услова за улагање предузетног капитала, улагање у власнички капитал, мезанин финансирање и улагања пословних анђела у МСП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правни оквир којим се уређује оснивање и рад фондова предузетног капитала у Републици Србији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АОФИ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УБС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година:</w:t>
            </w:r>
            <w:r w:rsidRPr="00AF22EC">
              <w:rPr>
                <w:rFonts w:ascii="Arial" w:eastAsia="Times New Roman" w:hAnsi="Arial" w:cs="Arial"/>
                <w:sz w:val="26"/>
                <w:szCs w:val="26"/>
                <w:lang w:eastAsia="sr-Latn-RS"/>
              </w:rPr>
              <w:br/>
              <w:t xml:space="preserve">Припремљен преглед потребних измена одговарајућих прописа (који се односе на банке, осигуравајућа друштва, </w:t>
            </w:r>
            <w:r w:rsidRPr="00AF22EC">
              <w:rPr>
                <w:rFonts w:ascii="Arial" w:eastAsia="Times New Roman" w:hAnsi="Arial" w:cs="Arial"/>
                <w:sz w:val="26"/>
                <w:szCs w:val="26"/>
                <w:lang w:eastAsia="sr-Latn-RS"/>
              </w:rPr>
              <w:lastRenderedPageBreak/>
              <w:t>порески третман)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законодавни оквир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година:</w:t>
            </w:r>
            <w:r w:rsidRPr="00AF22EC">
              <w:rPr>
                <w:rFonts w:ascii="Arial" w:eastAsia="Times New Roman" w:hAnsi="Arial" w:cs="Arial"/>
                <w:sz w:val="26"/>
                <w:szCs w:val="26"/>
                <w:lang w:eastAsia="sr-Latn-RS"/>
              </w:rPr>
              <w:br/>
              <w:t>Усвојен законодавни оквир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Припремити концепт оснивања јавног фонда предузетног капитала (фонда предузетног капитала у којем је држава већински власник) и испитати могућност сарадње са Европским инвестиционим фондом и могућност коришћења других финансијских извора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АОФИ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концепт оснивања јавног фонда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Створити механизам за редовно прикупљање предлога потенцијалних пројеката за овај вид улагања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Фонд за иновациону делатност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Успостављена база пројеката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Успостављен систем електронске пријаве пројеката заинтересованих предузетника у </w:t>
            </w:r>
            <w:r w:rsidRPr="00AF22EC">
              <w:rPr>
                <w:rFonts w:ascii="Arial" w:eastAsia="Times New Roman" w:hAnsi="Arial" w:cs="Arial"/>
                <w:sz w:val="26"/>
                <w:szCs w:val="26"/>
                <w:lang w:eastAsia="sr-Latn-RS"/>
              </w:rPr>
              <w:lastRenderedPageBreak/>
              <w:t>формирану базу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Спровођење континуираних активности на развоју механизама тржишта капитала, а у циљу обезбеђивања алтернативних метода олакшаног приступа финансирању и капиталу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Синхронизована измена Закона о привредним друштвима, Закона о тржишту капитала ("Службени гласник РС</w:t>
            </w:r>
            <w:r w:rsidRPr="00AF22EC">
              <w:rPr>
                <w:rFonts w:ascii="Arial" w:eastAsia="Times New Roman" w:hAnsi="Arial" w:cs="Arial"/>
                <w:sz w:val="26"/>
                <w:szCs w:val="26"/>
                <w:lang w:eastAsia="sr-Latn-RS"/>
              </w:rPr>
              <w:br/>
              <w:t>", број 31/11) и Закона о преузимању акционарских друштава ("Службени гласник РС</w:t>
            </w:r>
            <w:r w:rsidRPr="00AF22EC">
              <w:rPr>
                <w:rFonts w:ascii="Arial" w:eastAsia="Times New Roman" w:hAnsi="Arial" w:cs="Arial"/>
                <w:sz w:val="26"/>
                <w:szCs w:val="26"/>
                <w:lang w:eastAsia="sr-Latn-RS"/>
              </w:rPr>
              <w:br/>
              <w:t>", бр. 46/06, 107/09 и 99/11), како би се омогућио развој тржишта капитала ради приступа алтернативним изворима финансирања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 Уклањање административних препрека и побољшање регулаторног окружења за успостављање микро-финансијске подршке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Успоставити јединствен правни оквир за небанкарске, недепозитне кредитне институције, који укључује поступак </w:t>
            </w:r>
            <w:r w:rsidRPr="00AF22EC">
              <w:rPr>
                <w:rFonts w:ascii="Arial" w:eastAsia="Times New Roman" w:hAnsi="Arial" w:cs="Arial"/>
                <w:sz w:val="26"/>
                <w:szCs w:val="26"/>
                <w:lang w:eastAsia="sr-Latn-RS"/>
              </w:rPr>
              <w:lastRenderedPageBreak/>
              <w:t>лиценцирања и надзора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НБС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Урађена анализа алтернатива успостављања јединственог правног и институционалног оквира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Изграђен институционални капацитет за поступак лиценцирања и надзора у оквиру надлежног/их органа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Донет закон који уређује ову материју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Спроведена информативна кампања Министарства привреде којом је промовисан нови правни оквир и његове предности - минимум четири догађаја годишње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редовна средства уз подршку УСАИД БЕП-Пројекат за </w:t>
            </w:r>
            <w:r w:rsidRPr="00AF22EC">
              <w:rPr>
                <w:rFonts w:ascii="Arial" w:eastAsia="Times New Roman" w:hAnsi="Arial" w:cs="Arial"/>
                <w:sz w:val="26"/>
                <w:szCs w:val="26"/>
                <w:lang w:eastAsia="sr-Latn-RS"/>
              </w:rPr>
              <w:lastRenderedPageBreak/>
              <w:t>боље услове пословања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M5 - Унапредити услове за коришћење лизинга и факторинга од стране МСПП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Повећање обима коришћења лизинга од стране МСП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Асоцијација лизинг компанија Србије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Пословна удружења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Урађена анализа правних и других препрека за повећање обима коришћења лизинга од стране МСП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Написане препоруке за измену прописа и отклањање препрека, са конкретним предложеним решењима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Усвојено и спроведено најмање 50% препорука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Припремљена и спроведена кампања о коришћењу лизинга за улагање у основна средства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Више од 50% анкетираних МСП упознато са могућношћу коришћења лизинга за улагање у основна средства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Више од 5% МСП користи лизинг за улагање у основна средства три године од усвајања и спровођење препорука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УСАИД БЕП-Пројекат за боље услове пословања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2.3 Димензија</w:t>
            </w:r>
            <w:r w:rsidRPr="00AF22EC">
              <w:rPr>
                <w:rFonts w:ascii="Arial" w:eastAsia="Times New Roman" w:hAnsi="Arial" w:cs="Arial"/>
                <w:sz w:val="26"/>
                <w:szCs w:val="26"/>
                <w:lang w:eastAsia="sr-Latn-RS"/>
              </w:rPr>
              <w:br/>
              <w:t>Специфични циљ </w:t>
            </w:r>
          </w:p>
        </w:tc>
        <w:tc>
          <w:tcPr>
            <w:tcW w:w="425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 </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способности МСПП за приступ различитим изворима финансирања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25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536"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M1 -Унапређење информисања МСПП о расположивим изворима финансирања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портала привреде о расположивим изворима финансирања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Регионалне развојне агенције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Портал привреде ПКС као националне тачке са прегледом свих расположивих јавних, приватних и ЕУ извора финансирања МСПП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Ажуриране информације на сајту Предузетничког портала НАРР и Портала привреде ПКС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ПКС уз подршку УСАИД БЕП - Пројекат за боље услове пословања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система редовног достављања информација за ажурирање портала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Успостављен систем редовног достављања информација ПКС од стране јавних, приватних и ЕУ извора </w:t>
            </w:r>
            <w:r w:rsidRPr="00AF22EC">
              <w:rPr>
                <w:rFonts w:ascii="Arial" w:eastAsia="Times New Roman" w:hAnsi="Arial" w:cs="Arial"/>
                <w:sz w:val="26"/>
                <w:szCs w:val="26"/>
                <w:lang w:eastAsia="sr-Latn-RS"/>
              </w:rPr>
              <w:lastRenderedPageBreak/>
              <w:t>финансирања у циљу редовног ажурирања Портала привреде 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Спроведена национална кампања за информисање МСПП о Порталу привреде ПКС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ПКС уз подршку УСАИД БЕП - Пројекат за боље услове пословања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788" w:type="dxa"/>
            <w:gridSpan w:val="5"/>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M2 -Унапређење знања и вештина представника МСПП у области финансирања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Унапредити алате и материјале за обуку МСПП у области финансирања које са лакоћом могу да користе МСПП индивидуално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Пословна удружења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Регионалне развојне агенције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Унапређени алати и материјали за обуку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Алати и материјали подељени преко ПКС, регионалних привредних комора и регионалних развојних агенција постављени на Портал привреде ПКС и Предузетнички портал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Реализовано најмање 30 </w:t>
            </w:r>
            <w:r w:rsidRPr="00AF22EC">
              <w:rPr>
                <w:rFonts w:ascii="Arial" w:eastAsia="Times New Roman" w:hAnsi="Arial" w:cs="Arial"/>
                <w:sz w:val="26"/>
                <w:szCs w:val="26"/>
                <w:lang w:eastAsia="sr-Latn-RS"/>
              </w:rPr>
              <w:lastRenderedPageBreak/>
              <w:t>обука за коришћење алата и материјала за финансирање МСПП, са посебним фокусом на почетнике, младе, жене и припаднике рањивих група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Дистрибуирани алати и материјали за обуку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25% анкетираних МСПП је упознато са постојањем и доступношћу алата и материјала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УСАИД БЕП-Пројекат за боље услове пословања</w:t>
            </w:r>
            <w:r w:rsidRPr="00AF22EC">
              <w:rPr>
                <w:rFonts w:ascii="Arial" w:eastAsia="Times New Roman" w:hAnsi="Arial" w:cs="Arial"/>
                <w:sz w:val="26"/>
                <w:szCs w:val="26"/>
                <w:lang w:eastAsia="sr-Latn-RS"/>
              </w:rPr>
              <w:br/>
              <w:t>Буџет ПКС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Подршка у ангажовању домаћих или страних консултаната ради пословних савета, подршке и увођења добре праксе у финансирању предузећа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Реализоване обуке, менторства и пружене саветодавне услуге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Успостављена база консултаната за МСПП у оквиру 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Најмање 20% анкетираних МСПП је упознато са програмима и критеријумима </w:t>
            </w:r>
            <w:r w:rsidRPr="00AF22EC">
              <w:rPr>
                <w:rFonts w:ascii="Arial" w:eastAsia="Times New Roman" w:hAnsi="Arial" w:cs="Arial"/>
                <w:sz w:val="26"/>
                <w:szCs w:val="26"/>
                <w:lang w:eastAsia="sr-Latn-RS"/>
              </w:rPr>
              <w:lastRenderedPageBreak/>
              <w:t>за учешће у њима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Унапређено управљање средствима обезбеђења од стране МСПП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Пословна удружења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УБС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план обуке и материјали за образовање привредника о ефикасном управљању средствима обезбеђења зарад повећавања шанси за добијање кредита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Материјали о управљању средствима обезбеђења постављени на Портал привреде 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Одржане обуке за МСПП за ефикасно управљање средствима обезбеђења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Најмање 25% анкетираних МСПП је упознато са постојањем и доступношћу материјала о ефикасном управљању средствима обезбеђења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ПКС уз подршку УСАИД БЕП - Пројекат за боље услове пословања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 </w:t>
            </w:r>
          </w:p>
        </w:tc>
        <w:tc>
          <w:tcPr>
            <w:tcW w:w="8788"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Подизање свести код предузетника и свих других заинтересованих страна о расположивости и карактеристикама небанкарских финансијских инструмената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 </w:t>
            </w:r>
          </w:p>
        </w:tc>
        <w:tc>
          <w:tcPr>
            <w:tcW w:w="85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Развити алате и реализовати програме обуке "инвестиционе спремности" и упознавања са начином финансирања путем предузетног капитала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Приватни сектор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Припремљени алати и програми обуке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Реализоване обуке - најмање четири обуке годишње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година</w:t>
            </w:r>
            <w:r w:rsidRPr="00AF22EC">
              <w:rPr>
                <w:rFonts w:ascii="Arial" w:eastAsia="Times New Roman" w:hAnsi="Arial" w:cs="Arial"/>
                <w:sz w:val="26"/>
                <w:szCs w:val="26"/>
                <w:lang w:eastAsia="sr-Latn-RS"/>
              </w:rPr>
              <w:br/>
              <w:t>01 Приходи из буџета</w:t>
            </w:r>
            <w:r w:rsidRPr="00AF22EC">
              <w:rPr>
                <w:rFonts w:ascii="Arial" w:eastAsia="Times New Roman" w:hAnsi="Arial" w:cs="Arial"/>
                <w:sz w:val="26"/>
                <w:szCs w:val="26"/>
                <w:lang w:eastAsia="sr-Latn-RS"/>
              </w:rPr>
              <w:br/>
              <w:t>Раздео 20</w:t>
            </w:r>
            <w:r w:rsidRPr="00AF22EC">
              <w:rPr>
                <w:rFonts w:ascii="Arial" w:eastAsia="Times New Roman" w:hAnsi="Arial" w:cs="Arial"/>
                <w:sz w:val="26"/>
                <w:szCs w:val="26"/>
                <w:lang w:eastAsia="sr-Latn-RS"/>
              </w:rPr>
              <w:br/>
              <w:t>Глава 20.0</w:t>
            </w:r>
            <w:r w:rsidRPr="00AF22EC">
              <w:rPr>
                <w:rFonts w:ascii="Arial" w:eastAsia="Times New Roman" w:hAnsi="Arial" w:cs="Arial"/>
                <w:sz w:val="26"/>
                <w:szCs w:val="26"/>
                <w:lang w:eastAsia="sr-Latn-RS"/>
              </w:rPr>
              <w:br/>
              <w:t>Програм 1504</w:t>
            </w:r>
            <w:r w:rsidRPr="00AF22EC">
              <w:rPr>
                <w:rFonts w:ascii="Arial" w:eastAsia="Times New Roman" w:hAnsi="Arial" w:cs="Arial"/>
                <w:sz w:val="26"/>
                <w:szCs w:val="26"/>
                <w:lang w:eastAsia="sr-Latn-RS"/>
              </w:rPr>
              <w:br/>
              <w:t>Функција 410 </w:t>
            </w:r>
            <w:r w:rsidRPr="00AF22EC">
              <w:rPr>
                <w:rFonts w:ascii="Arial" w:eastAsia="Times New Roman" w:hAnsi="Arial" w:cs="Arial"/>
                <w:sz w:val="26"/>
                <w:szCs w:val="26"/>
                <w:lang w:eastAsia="sr-Latn-RS"/>
              </w:rPr>
              <w:br/>
              <w:t>Пројекат 4006</w:t>
            </w:r>
            <w:r w:rsidRPr="00AF22EC">
              <w:rPr>
                <w:rFonts w:ascii="Arial" w:eastAsia="Times New Roman" w:hAnsi="Arial" w:cs="Arial"/>
                <w:sz w:val="26"/>
                <w:szCs w:val="26"/>
                <w:lang w:eastAsia="sr-Latn-RS"/>
              </w:rPr>
              <w:br/>
              <w:t>Економска класификација 424 Специјализоване услуге</w:t>
            </w:r>
            <w:r w:rsidRPr="00AF22EC">
              <w:rPr>
                <w:rFonts w:ascii="Arial" w:eastAsia="Times New Roman" w:hAnsi="Arial" w:cs="Arial"/>
                <w:sz w:val="26"/>
                <w:szCs w:val="26"/>
                <w:lang w:eastAsia="sr-Latn-RS"/>
              </w:rPr>
              <w:br/>
              <w:t>Програм стандардизованог сета услуга за МСПП у 2015. години: 37,5 милиона динара</w:t>
            </w:r>
            <w:r w:rsidRPr="00AF22EC">
              <w:rPr>
                <w:rFonts w:ascii="Arial" w:eastAsia="Times New Roman" w:hAnsi="Arial" w:cs="Arial"/>
                <w:sz w:val="26"/>
                <w:szCs w:val="26"/>
                <w:lang w:eastAsia="sr-Latn-RS"/>
              </w:rPr>
              <w:br/>
              <w:t>Буџет ПКС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Информисање предузетника о расположивости и карактеристикама других небанкарских финансијских инструмената и расположивим финансијским </w:t>
            </w:r>
            <w:r w:rsidRPr="00AF22EC">
              <w:rPr>
                <w:rFonts w:ascii="Arial" w:eastAsia="Times New Roman" w:hAnsi="Arial" w:cs="Arial"/>
                <w:sz w:val="26"/>
                <w:szCs w:val="26"/>
                <w:lang w:eastAsia="sr-Latn-RS"/>
              </w:rPr>
              <w:lastRenderedPageBreak/>
              <w:t>средствима кроз програме ЕУ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Удружења МСП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Удружења инвеститора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инвентар услуга које нуде различите организације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Успостављена база понуде субвенционисаних "алтернативни</w:t>
            </w:r>
            <w:r w:rsidRPr="00AF22EC">
              <w:rPr>
                <w:rFonts w:ascii="Arial" w:eastAsia="Times New Roman" w:hAnsi="Arial" w:cs="Arial"/>
                <w:sz w:val="26"/>
                <w:szCs w:val="26"/>
                <w:lang w:eastAsia="sr-Latn-RS"/>
              </w:rPr>
              <w:lastRenderedPageBreak/>
              <w:t>х" (небанкарских) финансијских инструмената (држава, ЕУ и др)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Одржане радионице - најмање четири радионице годишње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Ажуриране информације на предузетничком порталу НАРР и порталу привреде 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Успостављени електронски модели обуке на предузетничком порталу НАРР и порталу привреде ПКС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УСАИД БЕП -Пројекат за боље услове пословања</w:t>
            </w:r>
            <w:r w:rsidRPr="00AF22EC">
              <w:rPr>
                <w:rFonts w:ascii="Arial" w:eastAsia="Times New Roman" w:hAnsi="Arial" w:cs="Arial"/>
                <w:sz w:val="26"/>
                <w:szCs w:val="26"/>
                <w:lang w:eastAsia="sr-Latn-RS"/>
              </w:rPr>
              <w:br/>
              <w:t>Буџет ПКС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 </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Промовисати и подстаћи већу искоришћеност финансијских инструмената за обезбеђење кредита за МСП расположиве кроз ЕУ програме (ЦОСМЕ, ЕДИФ и ХОРИЗОН 2020)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Чланови управних одбора банака у којима држава има учешће УБС </w:t>
            </w:r>
          </w:p>
        </w:tc>
        <w:tc>
          <w:tcPr>
            <w:tcW w:w="85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Припремити предлог програма за активности информисања банака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Одржане радионице и састанци са циљем информисања банака - најмање две </w:t>
            </w:r>
            <w:r w:rsidRPr="00AF22EC">
              <w:rPr>
                <w:rFonts w:ascii="Arial" w:eastAsia="Times New Roman" w:hAnsi="Arial" w:cs="Arial"/>
                <w:sz w:val="26"/>
                <w:szCs w:val="26"/>
                <w:lang w:eastAsia="sr-Latn-RS"/>
              </w:rPr>
              <w:lastRenderedPageBreak/>
              <w:t>радионице, односно два састанка годишње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Најмање три банке користе расположиве ЕУ програме </w:t>
            </w:r>
          </w:p>
        </w:tc>
        <w:tc>
          <w:tcPr>
            <w:tcW w:w="1701"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Буџет ПКС </w:t>
            </w:r>
          </w:p>
        </w:tc>
      </w:tr>
    </w:tbl>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lastRenderedPageBreak/>
        <w:t>  </w:t>
      </w:r>
    </w:p>
    <w:tbl>
      <w:tblPr>
        <w:tblW w:w="10340" w:type="dxa"/>
        <w:tblCellSpacing w:w="0" w:type="dxa"/>
        <w:tblBorders>
          <w:top w:val="inset" w:sz="6" w:space="0" w:color="000000"/>
          <w:left w:val="inset" w:sz="6" w:space="0" w:color="000000"/>
          <w:bottom w:val="inset" w:sz="6" w:space="0" w:color="000000"/>
          <w:right w:val="in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410"/>
        <w:gridCol w:w="2268"/>
        <w:gridCol w:w="2410"/>
        <w:gridCol w:w="872"/>
        <w:gridCol w:w="2246"/>
        <w:gridCol w:w="1134"/>
      </w:tblGrid>
      <w:tr w:rsidR="00AF22EC" w:rsidRPr="00AF22EC" w:rsidTr="00B661BB">
        <w:trPr>
          <w:tblCellSpacing w:w="0" w:type="dxa"/>
        </w:trPr>
        <w:tc>
          <w:tcPr>
            <w:tcW w:w="10340"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240" w:after="240" w:line="240" w:lineRule="auto"/>
              <w:jc w:val="center"/>
              <w:rPr>
                <w:rFonts w:ascii="Arial" w:eastAsia="Times New Roman" w:hAnsi="Arial" w:cs="Arial"/>
                <w:b/>
                <w:bCs/>
                <w:sz w:val="29"/>
                <w:szCs w:val="29"/>
                <w:lang w:eastAsia="sr-Latn-RS"/>
              </w:rPr>
            </w:pPr>
            <w:bookmarkStart w:id="23" w:name="str_23"/>
            <w:bookmarkEnd w:id="23"/>
            <w:r w:rsidRPr="00AF22EC">
              <w:rPr>
                <w:rFonts w:ascii="Arial" w:eastAsia="Times New Roman" w:hAnsi="Arial" w:cs="Arial"/>
                <w:b/>
                <w:bCs/>
                <w:sz w:val="29"/>
                <w:szCs w:val="29"/>
                <w:lang w:eastAsia="sr-Latn-RS"/>
              </w:rPr>
              <w:t>Стуб 3</w:t>
            </w:r>
          </w:p>
          <w:p w:rsidR="00AF22EC" w:rsidRPr="00AF22EC" w:rsidRDefault="00AF22EC" w:rsidP="00AF22EC">
            <w:pPr>
              <w:spacing w:before="240" w:after="240" w:line="240" w:lineRule="auto"/>
              <w:jc w:val="center"/>
              <w:rPr>
                <w:rFonts w:ascii="Arial" w:eastAsia="Times New Roman" w:hAnsi="Arial" w:cs="Arial"/>
                <w:b/>
                <w:bCs/>
                <w:sz w:val="29"/>
                <w:szCs w:val="29"/>
                <w:lang w:eastAsia="sr-Latn-RS"/>
              </w:rPr>
            </w:pPr>
            <w:r w:rsidRPr="00AF22EC">
              <w:rPr>
                <w:rFonts w:ascii="Arial" w:eastAsia="Times New Roman" w:hAnsi="Arial" w:cs="Arial"/>
                <w:b/>
                <w:bCs/>
                <w:sz w:val="29"/>
                <w:szCs w:val="29"/>
                <w:lang w:eastAsia="sr-Latn-RS"/>
              </w:rPr>
              <w:t>ОПШТИ ЦИЉ - КОНТИНУИРАНИ РАЗВОЈ ЉУДСКИХ РЕСУРСА</w:t>
            </w:r>
          </w:p>
        </w:tc>
      </w:tr>
      <w:tr w:rsidR="00AF22EC" w:rsidRPr="00AF22EC" w:rsidTr="00B661BB">
        <w:trPr>
          <w:tblCellSpacing w:w="0" w:type="dxa"/>
        </w:trPr>
        <w:tc>
          <w:tcPr>
            <w:tcW w:w="10340"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3.1 Димензија</w:t>
            </w:r>
            <w:r w:rsidRPr="00AF22EC">
              <w:rPr>
                <w:rFonts w:ascii="Arial" w:eastAsia="Times New Roman" w:hAnsi="Arial" w:cs="Arial"/>
                <w:sz w:val="26"/>
                <w:szCs w:val="26"/>
                <w:lang w:eastAsia="sr-Latn-RS"/>
              </w:rPr>
              <w:br/>
              <w:t>Специфични циљ</w:t>
            </w:r>
          </w:p>
        </w:tc>
        <w:tc>
          <w:tcPr>
            <w:tcW w:w="4678"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квалитета радне снаге</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678"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252"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930"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Развој механизма редовног праћења и предвиђања потреба МСПП за радном снагом</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7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4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и примена механизма за предвиђање и праћење потреба привреде на годишњем нивоу (локални, регионални и национални ниво)</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за рад, запошљавање, борачка и социјална 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Национална служба за запошљавање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Министарство просвете, науке и </w:t>
            </w:r>
            <w:r w:rsidRPr="00AF22EC">
              <w:rPr>
                <w:rFonts w:ascii="Arial" w:eastAsia="Times New Roman" w:hAnsi="Arial" w:cs="Arial"/>
                <w:sz w:val="26"/>
                <w:szCs w:val="26"/>
                <w:lang w:eastAsia="sr-Latn-RS"/>
              </w:rPr>
              <w:lastRenderedPageBreak/>
              <w:t>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2016 </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Унапређена методологија за редовно праћење потреба привреде на годишњем нивоу</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Редовно спровођење анкете на годишњем нивоу</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8930"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Усклађивање формалног образовног система са потребама тржишта рада</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7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4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Предлог усклађивања мреже стручних школа и понуде образовних програма (профила) и студијских програма са потребама привреде</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унапређивање образовања и васпитања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Национална служба за запошљавање</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Припремљена методологија за усклађивање мреже стручних школа и понуде образовних програма (профила) и студијских програма са потребама привреде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Предлог укључивања у наставне процесе практичног рада, по принципу дуалног система образовања, како би млади на тржиште рада изашли са </w:t>
            </w:r>
            <w:r w:rsidRPr="00AF22EC">
              <w:rPr>
                <w:rFonts w:ascii="Arial" w:eastAsia="Times New Roman" w:hAnsi="Arial" w:cs="Arial"/>
                <w:sz w:val="26"/>
                <w:szCs w:val="26"/>
                <w:lang w:eastAsia="sr-Latn-RS"/>
              </w:rPr>
              <w:lastRenderedPageBreak/>
              <w:t>применљивим знањима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и имплементација различитих модела практичне наставе како би се обезбедила боља припремљеност појединца према захтевима тржишта рада </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унапређивање образовања и васпитања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ПКС</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предлог методолошког и законодавног оквира за имплементацију модела кооперативног образовања у занатском образовању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ГИЗ</w:t>
            </w:r>
            <w:r w:rsidRPr="00AF22EC">
              <w:rPr>
                <w:rFonts w:ascii="Arial" w:eastAsia="Times New Roman" w:hAnsi="Arial" w:cs="Arial"/>
                <w:sz w:val="26"/>
                <w:szCs w:val="26"/>
                <w:lang w:eastAsia="sr-Latn-RS"/>
              </w:rPr>
              <w:br/>
              <w:t>Буџет ПКС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система укључивања послодаваца у процес програмирања, развоја и реализације програма средњег стручног и високог образовања</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унапређивање образовања и васпитања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Укључено бар 10% представника послодаваца у рад: секторских већа, испитних комисија и у реализацију практичне наставе и студентске праксе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Развијен систем акредитације и сертификације послодаваца код којих се реализује практична настава и студентска пракса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Донета законска и подзаконска регулатива за финансијске стимулације послодаваца у чијим се </w:t>
            </w:r>
            <w:r w:rsidRPr="00AF22EC">
              <w:rPr>
                <w:rFonts w:ascii="Arial" w:eastAsia="Times New Roman" w:hAnsi="Arial" w:cs="Arial"/>
                <w:sz w:val="26"/>
                <w:szCs w:val="26"/>
                <w:lang w:eastAsia="sr-Latn-RS"/>
              </w:rPr>
              <w:lastRenderedPageBreak/>
              <w:t>привредним друштвима спроводи практична настава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Посебна средства за ове намене нису предвиђена Законом о буџету Републике Србије за 2015. годину ("Службени гласник РС", број 142/14), на разделу 24 - Министарства просвете, науке и технолошког развоја </w:t>
            </w:r>
            <w:r w:rsidRPr="00AF22EC">
              <w:rPr>
                <w:rFonts w:ascii="Arial" w:eastAsia="Times New Roman" w:hAnsi="Arial" w:cs="Arial"/>
                <w:sz w:val="26"/>
                <w:szCs w:val="26"/>
                <w:lang w:eastAsia="sr-Latn-RS"/>
              </w:rPr>
              <w:br/>
            </w:r>
            <w:r w:rsidRPr="00AF22EC">
              <w:rPr>
                <w:rFonts w:ascii="Arial" w:eastAsia="Times New Roman" w:hAnsi="Arial" w:cs="Arial"/>
                <w:sz w:val="26"/>
                <w:szCs w:val="26"/>
                <w:lang w:eastAsia="sr-Latn-RS"/>
              </w:rPr>
              <w:lastRenderedPageBreak/>
              <w:t>Буџет ПКС</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Усклађивање уписне политике за високошколске студије са приоритетима у привреди и реформисање система финансирања високог образовања у складу са спровођењем овакве политике </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Утврђене квоте за упис на факултете у складу са приоритетима у привреди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редовног праћења показатеља као што је степен запошљавања у години након дипломирања и др.</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930"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Развој система неформалног образовања за унапређење знања и вештина</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7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4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система акредитације кратких обука </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унапређивање образовања и васпитања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функционални систем акредитације кратких обука, у складу са Законом о образовању одраслих ("Службени гласник", број 55/13)</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Број акредитованих </w:t>
            </w:r>
            <w:r w:rsidRPr="00AF22EC">
              <w:rPr>
                <w:rFonts w:ascii="Arial" w:eastAsia="Times New Roman" w:hAnsi="Arial" w:cs="Arial"/>
                <w:sz w:val="26"/>
                <w:szCs w:val="26"/>
                <w:lang w:eastAsia="sr-Latn-RS"/>
              </w:rPr>
              <w:lastRenderedPageBreak/>
              <w:t>стандардизованих програма кратких обука (пет програма обука)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акредитованих образовних установа (пет установа)</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реализације програма кратких обука намењених тржишту рада и обука на захтев послодавца</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Национална служба за запошљавање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за рад, запошљавање, борачка и социјална питања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и врста спроведених обука (око 55 кратких обука намењених тржишту рада и обука на захтев послодавца)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лица укључених у обуке (минимум 1500 полазника)</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преквалификација и доквалификација незапослених лица ради повећања могућности за запошљавање</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Национална служба за запошљавање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Средње стручне школе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за рад, запошљавање, борачка и социјална питања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лица укључених у програме доквалификације и преквалификације (око 860 лица) које Националне службе за запошљавање упућује на доквалификацију и преквалификацију, а ове активности се реализују у средњим стручним школама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система за признавање неформалног учења и искуственог знања</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предлог акта којим се регулише неформално учење и искуствено знање, у складу са прописом који регулише образовање одраслих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B661BB">
        <w:trPr>
          <w:tblCellSpacing w:w="0" w:type="dxa"/>
        </w:trPr>
        <w:tc>
          <w:tcPr>
            <w:tcW w:w="10340"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3.2 Димензија</w:t>
            </w:r>
            <w:r w:rsidRPr="00AF22EC">
              <w:rPr>
                <w:rFonts w:ascii="Arial" w:eastAsia="Times New Roman" w:hAnsi="Arial" w:cs="Arial"/>
                <w:sz w:val="26"/>
                <w:szCs w:val="26"/>
                <w:lang w:eastAsia="sr-Latn-RS"/>
              </w:rPr>
              <w:br/>
              <w:t>Специфични циљ</w:t>
            </w:r>
          </w:p>
        </w:tc>
        <w:tc>
          <w:tcPr>
            <w:tcW w:w="4678"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Подршка развоју образовања за предузетништво</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678"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252"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930"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Увођење предузетничког образовања у све нивое образовног система Републике Србије</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7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4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предузетништва као посебног наставног садржаја на факултете, пре свега, техничке факултете</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студијских програма на техничким факултетима у оквиру којих се изучава наставни предмет предузетништво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увођења предузетништва као посебног предмета у средње стручне школе </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Завод за унапређивање </w:t>
            </w:r>
            <w:r w:rsidRPr="00AF22EC">
              <w:rPr>
                <w:rFonts w:ascii="Arial" w:eastAsia="Times New Roman" w:hAnsi="Arial" w:cs="Arial"/>
                <w:sz w:val="26"/>
                <w:szCs w:val="26"/>
                <w:lang w:eastAsia="sr-Latn-RS"/>
              </w:rPr>
              <w:lastRenderedPageBreak/>
              <w:t>образовања и васпитања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Удружење "Достигнућа младих у Србији"</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ученика у средњим стручним школама који похађају предмет предузетништво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Број наставних програма у </w:t>
            </w:r>
            <w:r w:rsidRPr="00AF22EC">
              <w:rPr>
                <w:rFonts w:ascii="Arial" w:eastAsia="Times New Roman" w:hAnsi="Arial" w:cs="Arial"/>
                <w:sz w:val="26"/>
                <w:szCs w:val="26"/>
                <w:lang w:eastAsia="sr-Latn-RS"/>
              </w:rPr>
              <w:lastRenderedPageBreak/>
              <w:t>средњим стручним школама који садрже предмет предузетништво</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средњих школа у којима се предузетништво, као ваннаставна активност, спроводи у форми посебне секције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Удруже</w:t>
            </w:r>
            <w:r w:rsidRPr="00AF22EC">
              <w:rPr>
                <w:rFonts w:ascii="Arial" w:eastAsia="Times New Roman" w:hAnsi="Arial" w:cs="Arial"/>
                <w:sz w:val="26"/>
                <w:szCs w:val="26"/>
                <w:lang w:eastAsia="sr-Latn-RS"/>
              </w:rPr>
              <w:lastRenderedPageBreak/>
              <w:t>ња "Достигнућа младих у Србији"</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садржаја који развијају предузетнички дух код деце у основним школама кроз постојеће предмете</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унапређивање образовања и васпитања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Удружење "Достигнућа младих у Србији"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Соутх Еаст Еуропеан Центре фор Ентрепренеуриал Леарнинг - регионална иницијатива, пројекат ЕУ</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основних школа које су увеле садржаје који развијају предузетнички дух код деце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предлог акта којим се регулише увођење предузетништва (план, програм врста образовања наставника)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Соутх Еаст Еуропеан Центре фор Ентрепренеуриал Леарнинг и Удружења "Достигнућа младих у Србији"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Развој концепта ученичке компаније као методологије за </w:t>
            </w:r>
            <w:r w:rsidRPr="00AF22EC">
              <w:rPr>
                <w:rFonts w:ascii="Arial" w:eastAsia="Times New Roman" w:hAnsi="Arial" w:cs="Arial"/>
                <w:sz w:val="26"/>
                <w:szCs w:val="26"/>
                <w:lang w:eastAsia="sr-Latn-RS"/>
              </w:rPr>
              <w:lastRenderedPageBreak/>
              <w:t>развој предузетничког размишљања и подстицања предузетничке активности код младих у средњим школама </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Министарство просвете, науке и </w:t>
            </w:r>
            <w:r w:rsidRPr="00AF22EC">
              <w:rPr>
                <w:rFonts w:ascii="Arial" w:eastAsia="Times New Roman" w:hAnsi="Arial" w:cs="Arial"/>
                <w:sz w:val="26"/>
                <w:szCs w:val="26"/>
                <w:lang w:eastAsia="sr-Latn-RS"/>
              </w:rPr>
              <w:lastRenderedPageBreak/>
              <w:t>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унапређивање образовања и васпитања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Удружење "Достигнућа младих у Србији"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Развијен концепт ученичке компаније који може да се </w:t>
            </w:r>
            <w:r w:rsidRPr="00AF22EC">
              <w:rPr>
                <w:rFonts w:ascii="Arial" w:eastAsia="Times New Roman" w:hAnsi="Arial" w:cs="Arial"/>
                <w:sz w:val="26"/>
                <w:szCs w:val="26"/>
                <w:lang w:eastAsia="sr-Latn-RS"/>
              </w:rPr>
              <w:lastRenderedPageBreak/>
              <w:t>примени у постојећем образовном и фискалном окружењу у Србији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w:t>
            </w:r>
            <w:r w:rsidRPr="00AF22EC">
              <w:rPr>
                <w:rFonts w:ascii="Arial" w:eastAsia="Times New Roman" w:hAnsi="Arial" w:cs="Arial"/>
                <w:sz w:val="26"/>
                <w:szCs w:val="26"/>
                <w:lang w:eastAsia="sr-Latn-RS"/>
              </w:rPr>
              <w:lastRenderedPageBreak/>
              <w:t>редовна средства уз подршку Удружења "Достигнућа младих у Србији" и других организација које у сарадњи са средњим школама спроводе активности у области предузетничког учења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реализације програма подршке образовању за предузетништво по међународном моделу "Достигнућа младих" </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Удружење "Достигнућа младих у Србији"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Пружена подршка за добијање спонзорстава корпоративног сектора за наставак спровођења програма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Предложен модел дугорочног финансирања програма, у партнерству </w:t>
            </w:r>
            <w:r w:rsidRPr="00AF22EC">
              <w:rPr>
                <w:rFonts w:ascii="Arial" w:eastAsia="Times New Roman" w:hAnsi="Arial" w:cs="Arial"/>
                <w:sz w:val="26"/>
                <w:szCs w:val="26"/>
                <w:lang w:eastAsia="sr-Latn-RS"/>
              </w:rPr>
              <w:lastRenderedPageBreak/>
              <w:t>приватног и јавног сектора</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8930"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Образовање и обука наставника за предузетништво</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7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4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Развијање програма стручног усавршавања наставника којима би се ојачале њихове компетенције да код ученика подстакну креативност, иновативност и предузимљивост</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унапређивање образовања и васпитања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Најмање један програм јачања компетенција наставника у области предузетништва у оквиру Каталога програма сталног стручног усавршавања наставника, васпитача и стручних сарадника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B661BB">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садржаја у вези са предузетничким образовањем на факултете који образују наставнички кадар</w:t>
            </w:r>
          </w:p>
        </w:tc>
        <w:tc>
          <w:tcPr>
            <w:tcW w:w="241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Високошколске установе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87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224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Идентификовани факултети и високе струковне школе заинтересовани за предлог увођења предузетничког образовања у своје студијске програме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Акредитовани студијски програми у оквиру којих се изучава предузетништво (најмање три)</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bl>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lastRenderedPageBreak/>
        <w:t> </w:t>
      </w:r>
    </w:p>
    <w:tbl>
      <w:tblPr>
        <w:tblW w:w="14047" w:type="dxa"/>
        <w:tblCellSpacing w:w="0" w:type="dxa"/>
        <w:tblBorders>
          <w:top w:val="inset" w:sz="6" w:space="0" w:color="000000"/>
          <w:left w:val="inset" w:sz="6" w:space="0" w:color="000000"/>
          <w:bottom w:val="inset" w:sz="6" w:space="0" w:color="000000"/>
          <w:right w:val="in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699"/>
        <w:gridCol w:w="1842"/>
        <w:gridCol w:w="993"/>
        <w:gridCol w:w="1985"/>
        <w:gridCol w:w="142"/>
        <w:gridCol w:w="994"/>
        <w:gridCol w:w="707"/>
        <w:gridCol w:w="1135"/>
        <w:gridCol w:w="1418"/>
        <w:gridCol w:w="424"/>
        <w:gridCol w:w="3669"/>
        <w:gridCol w:w="39"/>
      </w:tblGrid>
      <w:tr w:rsidR="00AF22EC" w:rsidRPr="00AF22EC" w:rsidTr="00740C20">
        <w:trPr>
          <w:gridAfter w:val="2"/>
          <w:wAfter w:w="3708" w:type="dxa"/>
          <w:tblCellSpacing w:w="0" w:type="dxa"/>
        </w:trPr>
        <w:tc>
          <w:tcPr>
            <w:tcW w:w="10339" w:type="dxa"/>
            <w:gridSpan w:val="10"/>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240" w:after="240" w:line="240" w:lineRule="auto"/>
              <w:ind w:right="358"/>
              <w:jc w:val="center"/>
              <w:rPr>
                <w:rFonts w:ascii="Arial" w:eastAsia="Times New Roman" w:hAnsi="Arial" w:cs="Arial"/>
                <w:b/>
                <w:bCs/>
                <w:sz w:val="29"/>
                <w:szCs w:val="29"/>
                <w:lang w:eastAsia="sr-Latn-RS"/>
              </w:rPr>
            </w:pPr>
            <w:bookmarkStart w:id="24" w:name="str_24"/>
            <w:bookmarkEnd w:id="24"/>
            <w:r w:rsidRPr="00AF22EC">
              <w:rPr>
                <w:rFonts w:ascii="Arial" w:eastAsia="Times New Roman" w:hAnsi="Arial" w:cs="Arial"/>
                <w:b/>
                <w:bCs/>
                <w:sz w:val="29"/>
                <w:szCs w:val="29"/>
                <w:lang w:eastAsia="sr-Latn-RS"/>
              </w:rPr>
              <w:t>Стуб 4</w:t>
            </w:r>
          </w:p>
          <w:p w:rsidR="00AF22EC" w:rsidRPr="00AF22EC" w:rsidRDefault="00AF22EC" w:rsidP="00B661BB">
            <w:pPr>
              <w:spacing w:before="240" w:after="240" w:line="240" w:lineRule="auto"/>
              <w:ind w:right="358"/>
              <w:jc w:val="center"/>
              <w:rPr>
                <w:rFonts w:ascii="Arial" w:eastAsia="Times New Roman" w:hAnsi="Arial" w:cs="Arial"/>
                <w:b/>
                <w:bCs/>
                <w:sz w:val="29"/>
                <w:szCs w:val="29"/>
                <w:lang w:eastAsia="sr-Latn-RS"/>
              </w:rPr>
            </w:pPr>
            <w:r w:rsidRPr="00AF22EC">
              <w:rPr>
                <w:rFonts w:ascii="Arial" w:eastAsia="Times New Roman" w:hAnsi="Arial" w:cs="Arial"/>
                <w:b/>
                <w:bCs/>
                <w:sz w:val="29"/>
                <w:szCs w:val="29"/>
                <w:lang w:eastAsia="sr-Latn-RS"/>
              </w:rPr>
              <w:t>ОПШТИ ЦИЉ - ЈАЧАЊЕ ОДРЖИВОСТИ И КОНКУРЕНТНОСТИ МСПП </w:t>
            </w:r>
          </w:p>
        </w:tc>
      </w:tr>
      <w:tr w:rsidR="00AF22EC" w:rsidRPr="00AF22EC" w:rsidTr="00740C20">
        <w:trPr>
          <w:gridAfter w:val="2"/>
          <w:wAfter w:w="3708" w:type="dxa"/>
          <w:tblCellSpacing w:w="0" w:type="dxa"/>
        </w:trPr>
        <w:tc>
          <w:tcPr>
            <w:tcW w:w="10339" w:type="dxa"/>
            <w:gridSpan w:val="10"/>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right="358"/>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740C20" w:rsidRPr="00AF22EC" w:rsidTr="00740C20">
        <w:trPr>
          <w:gridAfter w:val="1"/>
          <w:wAfter w:w="39" w:type="dxa"/>
          <w:tblCellSpacing w:w="0" w:type="dxa"/>
        </w:trPr>
        <w:tc>
          <w:tcPr>
            <w:tcW w:w="2541"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B661BB">
            <w:pPr>
              <w:spacing w:before="100" w:beforeAutospacing="1" w:after="100" w:afterAutospacing="1" w:line="240" w:lineRule="auto"/>
              <w:ind w:right="783"/>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4.1 Димензија</w:t>
            </w:r>
            <w:r w:rsidRPr="00AF22EC">
              <w:rPr>
                <w:rFonts w:ascii="Arial" w:eastAsia="Times New Roman" w:hAnsi="Arial" w:cs="Arial"/>
                <w:sz w:val="26"/>
                <w:szCs w:val="26"/>
                <w:lang w:eastAsia="sr-Latn-RS"/>
              </w:rPr>
              <w:br/>
              <w:t>Специфични циљ</w:t>
            </w:r>
          </w:p>
        </w:tc>
        <w:tc>
          <w:tcPr>
            <w:tcW w:w="993"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B661BB">
            <w:pPr>
              <w:spacing w:before="100" w:beforeAutospacing="1" w:after="100" w:afterAutospacing="1" w:line="240" w:lineRule="auto"/>
              <w:ind w:right="358"/>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w:t>
            </w:r>
          </w:p>
        </w:tc>
        <w:tc>
          <w:tcPr>
            <w:tcW w:w="10474" w:type="dxa"/>
            <w:gridSpan w:val="8"/>
            <w:tcBorders>
              <w:top w:val="outset" w:sz="6" w:space="0" w:color="auto"/>
              <w:left w:val="outset" w:sz="6" w:space="0" w:color="auto"/>
              <w:bottom w:val="outset" w:sz="6" w:space="0" w:color="auto"/>
              <w:right w:val="outset" w:sz="6" w:space="0" w:color="auto"/>
            </w:tcBorders>
            <w:vAlign w:val="center"/>
            <w:hideMark/>
          </w:tcPr>
          <w:p w:rsidR="00740C20" w:rsidRDefault="00AF22EC" w:rsidP="00740C20">
            <w:pPr>
              <w:spacing w:before="100" w:beforeAutospacing="1" w:after="100" w:afterAutospacing="1" w:line="240" w:lineRule="auto"/>
              <w:ind w:left="98" w:right="358" w:hanging="2231"/>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ефикасности институционалне</w:t>
            </w:r>
          </w:p>
          <w:p w:rsidR="00AF22EC" w:rsidRPr="00AF22EC" w:rsidRDefault="00AF22EC" w:rsidP="00740C20">
            <w:pPr>
              <w:spacing w:before="100" w:beforeAutospacing="1" w:after="100" w:afterAutospacing="1" w:line="240" w:lineRule="auto"/>
              <w:ind w:left="98" w:right="358" w:hanging="2231"/>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 подршке пословању и развоју МСП и предузетништва</w:t>
            </w:r>
          </w:p>
        </w:tc>
      </w:tr>
      <w:tr w:rsidR="00740C20" w:rsidRPr="00AF22EC" w:rsidTr="00740C20">
        <w:trPr>
          <w:gridAfter w:val="1"/>
          <w:wAfter w:w="39" w:type="dxa"/>
          <w:tblCellSpacing w:w="0" w:type="dxa"/>
        </w:trPr>
        <w:tc>
          <w:tcPr>
            <w:tcW w:w="2541"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right="358"/>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993" w:type="dxa"/>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right="358"/>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10474"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left="1977" w:right="358" w:hanging="4110"/>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740C20" w:rsidRPr="00AF22EC" w:rsidTr="00740C20">
        <w:trPr>
          <w:tblCellSpacing w:w="0" w:type="dxa"/>
        </w:trPr>
        <w:tc>
          <w:tcPr>
            <w:tcW w:w="2541"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right="358"/>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11506" w:type="dxa"/>
            <w:gridSpan w:val="10"/>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left="1977" w:right="358" w:hanging="4110"/>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Унапређење и/или реформа начин рада и капацитета постојећих институција за организовано пружање услуга за потребе МСПП</w:t>
            </w:r>
          </w:p>
        </w:tc>
      </w:tr>
      <w:tr w:rsidR="00B661BB"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B661BB">
            <w:pPr>
              <w:spacing w:before="100" w:beforeAutospacing="1" w:after="100" w:afterAutospacing="1" w:line="240" w:lineRule="auto"/>
              <w:ind w:hanging="754"/>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B661BB">
            <w:pPr>
              <w:spacing w:before="100" w:beforeAutospacing="1" w:after="100" w:afterAutospacing="1" w:line="240" w:lineRule="auto"/>
              <w:ind w:left="97"/>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1843"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B661BB">
            <w:pPr>
              <w:spacing w:before="100" w:beforeAutospacing="1" w:after="100" w:afterAutospacing="1" w:line="240" w:lineRule="auto"/>
              <w:ind w:left="1977" w:right="375" w:hanging="754"/>
              <w:jc w:val="both"/>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135" w:type="dxa"/>
            <w:tcBorders>
              <w:top w:val="outset" w:sz="6" w:space="0" w:color="auto"/>
              <w:left w:val="outset" w:sz="6" w:space="0" w:color="auto"/>
              <w:bottom w:val="outset" w:sz="6" w:space="0" w:color="auto"/>
              <w:right w:val="outset" w:sz="6" w:space="0" w:color="auto"/>
            </w:tcBorders>
            <w:vAlign w:val="center"/>
            <w:hideMark/>
          </w:tcPr>
          <w:p w:rsidR="00740C20" w:rsidRDefault="00AF22EC" w:rsidP="00B661BB">
            <w:pPr>
              <w:spacing w:before="100" w:beforeAutospacing="1" w:after="100" w:afterAutospacing="1" w:line="240" w:lineRule="auto"/>
              <w:ind w:right="-329" w:hanging="470"/>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w:t>
            </w:r>
          </w:p>
          <w:p w:rsidR="00AF22EC" w:rsidRPr="00AF22EC" w:rsidRDefault="00AF22EC" w:rsidP="00B661BB">
            <w:pPr>
              <w:spacing w:before="100" w:beforeAutospacing="1" w:after="100" w:afterAutospacing="1" w:line="240" w:lineRule="auto"/>
              <w:ind w:right="-329" w:hanging="470"/>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B661BB">
            <w:pPr>
              <w:spacing w:before="100" w:beforeAutospacing="1" w:after="100" w:afterAutospacing="1" w:line="240" w:lineRule="auto"/>
              <w:ind w:left="381" w:right="375" w:hanging="2514"/>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B661BB"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hanging="754"/>
              <w:rPr>
                <w:rFonts w:ascii="Arial" w:eastAsia="Times New Roman" w:hAnsi="Arial" w:cs="Arial"/>
                <w:sz w:val="26"/>
                <w:szCs w:val="26"/>
                <w:lang w:eastAsia="sr-Latn-RS"/>
              </w:rPr>
            </w:pPr>
            <w:r w:rsidRPr="00AF22EC">
              <w:rPr>
                <w:rFonts w:ascii="Arial" w:eastAsia="Times New Roman" w:hAnsi="Arial" w:cs="Arial"/>
                <w:sz w:val="26"/>
                <w:szCs w:val="26"/>
                <w:lang w:eastAsia="sr-Latn-RS"/>
              </w:rPr>
              <w:t>Анализа ефикасности рада и капацитета постојећих институција за организовано пружање услуга са предлогом мера за унапређење и/или реформу</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firstLine="380"/>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1843"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left="1977" w:right="375" w:hanging="754"/>
              <w:jc w:val="both"/>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13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right="-329" w:hanging="470"/>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Урађена анализа и предлог мера за унапређење и/или реформу</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left="381" w:right="375" w:hanging="2514"/>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B661BB"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hanging="754"/>
              <w:rPr>
                <w:rFonts w:ascii="Arial" w:eastAsia="Times New Roman" w:hAnsi="Arial" w:cs="Arial"/>
                <w:sz w:val="26"/>
                <w:szCs w:val="26"/>
                <w:lang w:eastAsia="sr-Latn-RS"/>
              </w:rPr>
            </w:pPr>
            <w:r w:rsidRPr="00AF22EC">
              <w:rPr>
                <w:rFonts w:ascii="Arial" w:eastAsia="Times New Roman" w:hAnsi="Arial" w:cs="Arial"/>
                <w:sz w:val="26"/>
                <w:szCs w:val="26"/>
                <w:lang w:eastAsia="sr-Latn-RS"/>
              </w:rPr>
              <w:t>Анализа квалитета услуга институција за организовано пружање услуга</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firstLine="380"/>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1843"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left="1977" w:right="375" w:hanging="754"/>
              <w:jc w:val="both"/>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13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right="-329" w:hanging="470"/>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Спроведена анкета са 200 корисника услуга </w:t>
            </w:r>
          </w:p>
          <w:p w:rsidR="00AF22EC" w:rsidRPr="00AF22EC" w:rsidRDefault="00AF22EC" w:rsidP="00B661BB">
            <w:pPr>
              <w:spacing w:before="100" w:beforeAutospacing="1" w:after="100" w:afterAutospacing="1" w:line="240" w:lineRule="auto"/>
              <w:ind w:right="-329" w:hanging="470"/>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Урађена анализа квалитета услуга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left="381" w:right="375" w:hanging="2514"/>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hanging="754"/>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Примена предложених мера за унапређење и/или реформу</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firstLine="380"/>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hanging="754"/>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left="239" w:right="-362" w:hanging="142"/>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Унапређен рад институција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right="-362" w:hanging="186"/>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Буџет Републике Србије - </w:t>
            </w:r>
            <w:r w:rsidRPr="00AF22EC">
              <w:rPr>
                <w:rFonts w:ascii="Arial" w:eastAsia="Times New Roman" w:hAnsi="Arial" w:cs="Arial"/>
                <w:sz w:val="26"/>
                <w:szCs w:val="26"/>
                <w:lang w:eastAsia="sr-Latn-RS"/>
              </w:rPr>
              <w:lastRenderedPageBreak/>
              <w:t>редовна средства </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B661BB">
            <w:pPr>
              <w:spacing w:before="100" w:beforeAutospacing="1" w:after="100" w:afterAutospacing="1" w:line="240" w:lineRule="auto"/>
              <w:ind w:hanging="754"/>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Праћење реализације институционалне подршке и унапређење система надзора над радом институција у надлежности Министарства привреде</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740C20">
            <w:pPr>
              <w:spacing w:before="100" w:beforeAutospacing="1" w:after="100" w:afterAutospacing="1" w:line="240" w:lineRule="auto"/>
              <w:ind w:right="213"/>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механизма за континуирано праћење квалитета и ефикасности рада агенција и институција у надлежности Министарства привреде који пружају подршку МСПП </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Дефинисан механизам и критеријуми мерења квалитета рада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Пилот програм тестирања развијеног механизма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Спроведен програм тестирања у који је укључено 200 привредика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Припрема предлога за оптимизацију рада институција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Спровести попис и анализу програма државне помоћи за МСПП у циљу њиховог унапређења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Пословна удружења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Спроведен попис и процена свих програма државне помоћи за МСПП у циљу анализе ефеката и ефикасности коришћења средстава </w:t>
            </w:r>
            <w:r w:rsidRPr="00AF22EC">
              <w:rPr>
                <w:rFonts w:ascii="Arial" w:eastAsia="Times New Roman" w:hAnsi="Arial" w:cs="Arial"/>
                <w:sz w:val="26"/>
                <w:szCs w:val="26"/>
                <w:lang w:eastAsia="sr-Latn-RS"/>
              </w:rPr>
              <w:lastRenderedPageBreak/>
              <w:t>(испитати адекватност концепта програма, покривеност циљних група и њихових потреба, процедура за спровођење програма, усклађеност са правилима ЕУ о државној помоћи итд)</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основу извршене процене припремљени предлози за унапређење постојећих програма и функционалну интеграцију одређених програма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редовна средства уз подршку УСАИД БЕП -Пројекат за боље услове </w:t>
            </w:r>
            <w:r w:rsidRPr="00AF22EC">
              <w:rPr>
                <w:rFonts w:ascii="Arial" w:eastAsia="Times New Roman" w:hAnsi="Arial" w:cs="Arial"/>
                <w:sz w:val="26"/>
                <w:szCs w:val="26"/>
                <w:lang w:eastAsia="sr-Latn-RS"/>
              </w:rPr>
              <w:lastRenderedPageBreak/>
              <w:t>пословања </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Израдити предлог будуће координације и интеграције државне подршке за финансирање МСПП</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и усаглашен механизам координације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Јасно дефинисано тело задужено за координацију</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Развијен и успостављен оквир за мерење учинка и извештавање </w:t>
            </w:r>
            <w:r w:rsidRPr="00AF22EC">
              <w:rPr>
                <w:rFonts w:ascii="Arial" w:eastAsia="Times New Roman" w:hAnsi="Arial" w:cs="Arial"/>
                <w:sz w:val="26"/>
                <w:szCs w:val="26"/>
                <w:lang w:eastAsia="sr-Latn-RS"/>
              </w:rPr>
              <w:lastRenderedPageBreak/>
              <w:t>за државне програме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Обучени запослени који раде на припреми мера о правилима државне помоћи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Обучени запослени који ће примењивати методологију мерења учинака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уз подршку УСАИД БЕП - Пројекат за боље услове пословања </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Донети уредбу о анализи ефеката државне помоћи</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финансија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СКГО</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Донета уредба којом се уводи обавеза и дефинише методологија спровођења анализе ефеката државне помоћи са циљем ефикаснијег трошења буџетских средстава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СКГО ће представити Методологију јединицама локалних самоуправама кроз радионице како би биле оспособљене </w:t>
            </w:r>
            <w:r w:rsidRPr="00AF22EC">
              <w:rPr>
                <w:rFonts w:ascii="Arial" w:eastAsia="Times New Roman" w:hAnsi="Arial" w:cs="Arial"/>
                <w:sz w:val="26"/>
                <w:szCs w:val="26"/>
                <w:lang w:eastAsia="sr-Latn-RS"/>
              </w:rPr>
              <w:lastRenderedPageBreak/>
              <w:t>да врше анализу ефеката пружене помоћи на локалном нивоу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Даљи развој пословних услуга за МСПП</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Даљи развој система акредитације пружалаца пословних услуга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акредитованих пружалаца услуга (повећање за 5% у односу на претходну годину)</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спровођења модула пословних услуга у оквиру програма стандардизованог сета услуга за МСПП</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Акредитоване регионалне развојне агенције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корисника пословних услуга (увећање за 5% у односу на претходну годину)</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година</w:t>
            </w:r>
            <w:r w:rsidRPr="00AF22EC">
              <w:rPr>
                <w:rFonts w:ascii="Arial" w:eastAsia="Times New Roman" w:hAnsi="Arial" w:cs="Arial"/>
                <w:sz w:val="26"/>
                <w:szCs w:val="26"/>
                <w:lang w:eastAsia="sr-Latn-RS"/>
              </w:rPr>
              <w:br/>
              <w:t>01 Приходи из буџета</w:t>
            </w:r>
            <w:r w:rsidRPr="00AF22EC">
              <w:rPr>
                <w:rFonts w:ascii="Arial" w:eastAsia="Times New Roman" w:hAnsi="Arial" w:cs="Arial"/>
                <w:sz w:val="26"/>
                <w:szCs w:val="26"/>
                <w:lang w:eastAsia="sr-Latn-RS"/>
              </w:rPr>
              <w:br/>
              <w:t>Раздео 20</w:t>
            </w:r>
            <w:r w:rsidRPr="00AF22EC">
              <w:rPr>
                <w:rFonts w:ascii="Arial" w:eastAsia="Times New Roman" w:hAnsi="Arial" w:cs="Arial"/>
                <w:sz w:val="26"/>
                <w:szCs w:val="26"/>
                <w:lang w:eastAsia="sr-Latn-RS"/>
              </w:rPr>
              <w:br/>
              <w:t>Глава 20.0</w:t>
            </w:r>
            <w:r w:rsidRPr="00AF22EC">
              <w:rPr>
                <w:rFonts w:ascii="Arial" w:eastAsia="Times New Roman" w:hAnsi="Arial" w:cs="Arial"/>
                <w:sz w:val="26"/>
                <w:szCs w:val="26"/>
                <w:lang w:eastAsia="sr-Latn-RS"/>
              </w:rPr>
              <w:br/>
              <w:t>Програм 1504</w:t>
            </w:r>
            <w:r w:rsidRPr="00AF22EC">
              <w:rPr>
                <w:rFonts w:ascii="Arial" w:eastAsia="Times New Roman" w:hAnsi="Arial" w:cs="Arial"/>
                <w:sz w:val="26"/>
                <w:szCs w:val="26"/>
                <w:lang w:eastAsia="sr-Latn-RS"/>
              </w:rPr>
              <w:br/>
              <w:t>Функција 410</w:t>
            </w:r>
            <w:r w:rsidRPr="00AF22EC">
              <w:rPr>
                <w:rFonts w:ascii="Arial" w:eastAsia="Times New Roman" w:hAnsi="Arial" w:cs="Arial"/>
                <w:sz w:val="26"/>
                <w:szCs w:val="26"/>
                <w:lang w:eastAsia="sr-Latn-RS"/>
              </w:rPr>
              <w:br/>
              <w:t>Пројекат 4006</w:t>
            </w:r>
            <w:r w:rsidRPr="00AF22EC">
              <w:rPr>
                <w:rFonts w:ascii="Arial" w:eastAsia="Times New Roman" w:hAnsi="Arial" w:cs="Arial"/>
                <w:sz w:val="26"/>
                <w:szCs w:val="26"/>
                <w:lang w:eastAsia="sr-Latn-RS"/>
              </w:rPr>
              <w:br/>
              <w:t>Економска класификација 424</w:t>
            </w:r>
            <w:r w:rsidRPr="00AF22EC">
              <w:rPr>
                <w:rFonts w:ascii="Arial" w:eastAsia="Times New Roman" w:hAnsi="Arial" w:cs="Arial"/>
                <w:sz w:val="26"/>
                <w:szCs w:val="26"/>
                <w:lang w:eastAsia="sr-Latn-RS"/>
              </w:rPr>
              <w:br/>
              <w:t>Специјализоване услуге</w:t>
            </w:r>
            <w:r w:rsidRPr="00AF22EC">
              <w:rPr>
                <w:rFonts w:ascii="Arial" w:eastAsia="Times New Roman" w:hAnsi="Arial" w:cs="Arial"/>
                <w:sz w:val="26"/>
                <w:szCs w:val="26"/>
                <w:lang w:eastAsia="sr-Latn-RS"/>
              </w:rPr>
              <w:br/>
              <w:t xml:space="preserve">Програм стандардизованог </w:t>
            </w:r>
            <w:r w:rsidRPr="00AF22EC">
              <w:rPr>
                <w:rFonts w:ascii="Arial" w:eastAsia="Times New Roman" w:hAnsi="Arial" w:cs="Arial"/>
                <w:sz w:val="26"/>
                <w:szCs w:val="26"/>
                <w:lang w:eastAsia="sr-Latn-RS"/>
              </w:rPr>
              <w:lastRenderedPageBreak/>
              <w:t>сета услуга за МСПП у 2015. години: 37,5 милиона динара </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капацитета пружалаца пословних услуга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Организовано најмање четири обуке годишње за пружаоце пословних услуга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спровођења програма суфинансирања пословних услуга за МСПП</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Европска банка за обнову и развој</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Најмање 150 предузећа годишње добило подршку</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2015-2016. година</w:t>
            </w:r>
            <w:r w:rsidRPr="00AF22EC">
              <w:rPr>
                <w:rFonts w:ascii="Arial" w:eastAsia="Times New Roman" w:hAnsi="Arial" w:cs="Arial"/>
                <w:sz w:val="26"/>
                <w:szCs w:val="26"/>
                <w:lang w:eastAsia="sr-Latn-RS"/>
              </w:rPr>
              <w:br/>
              <w:t>05 Донације од иностраних земаља - ИПА 2012 Подршка развоју МСП у Србији: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417.720.000 динара (3.481.000 евра),</w:t>
            </w:r>
            <w:r w:rsidRPr="00AF22EC">
              <w:rPr>
                <w:rFonts w:ascii="Arial" w:eastAsia="Times New Roman" w:hAnsi="Arial" w:cs="Arial"/>
                <w:sz w:val="26"/>
                <w:szCs w:val="26"/>
                <w:lang w:eastAsia="sr-Latn-RS"/>
              </w:rPr>
              <w:br/>
              <w:t>06 Донације од међународних организац</w:t>
            </w:r>
            <w:r w:rsidRPr="00AF22EC">
              <w:rPr>
                <w:rFonts w:ascii="Arial" w:eastAsia="Times New Roman" w:hAnsi="Arial" w:cs="Arial"/>
                <w:sz w:val="26"/>
                <w:szCs w:val="26"/>
                <w:lang w:eastAsia="sr-Latn-RS"/>
              </w:rPr>
              <w:lastRenderedPageBreak/>
              <w:t>ија: контрибуција Европске банке за обнову и развој: 45.485.040 динара (379.042 евра) приватни сектор: 1.305.000 евра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Спровођење програма менторства за предузетнике који су у првим годинама свог пословања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предузетника који су укључени у програм менторства током једне године (30 предузетника)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А6</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Спровођење програма менторинга за предузетнике - кориснике субвенције за самозапошљавање</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Национална служба за запошљавање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предузетника који су укључени у програм менторинга током једне године (310 предузетника)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 Даљи развој обука за потенцијалне и постојеће предузетнике</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Редовно спровођење анализе потреба привреде за обукама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Припремљен годишњи извештај </w:t>
            </w:r>
            <w:r w:rsidRPr="00AF22EC">
              <w:rPr>
                <w:rFonts w:ascii="Arial" w:eastAsia="Times New Roman" w:hAnsi="Arial" w:cs="Arial"/>
                <w:sz w:val="26"/>
                <w:szCs w:val="26"/>
                <w:lang w:eastAsia="sr-Latn-RS"/>
              </w:rPr>
              <w:lastRenderedPageBreak/>
              <w:t>јавно доступан</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Буџет Републике Србије - </w:t>
            </w:r>
            <w:r w:rsidRPr="00AF22EC">
              <w:rPr>
                <w:rFonts w:ascii="Arial" w:eastAsia="Times New Roman" w:hAnsi="Arial" w:cs="Arial"/>
                <w:sz w:val="26"/>
                <w:szCs w:val="26"/>
                <w:lang w:eastAsia="sr-Latn-RS"/>
              </w:rPr>
              <w:lastRenderedPageBreak/>
              <w:t>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система акредитације пружалаца обука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предлог модела акредитација пружалаца обука за МСПП за потребе ваучер система подршке коришћењу пословних обука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спровођења и даљи развој модула обука у оквиру програма стандардизованог сета услуга за МСПП</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Акредитоване регионалне развојне агенције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модула обука током једне године (увећање за 10% у односу на претходну годину)</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полазника обука (увећање за 5% у односу на претходну годину)</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година</w:t>
            </w:r>
            <w:r w:rsidRPr="00AF22EC">
              <w:rPr>
                <w:rFonts w:ascii="Arial" w:eastAsia="Times New Roman" w:hAnsi="Arial" w:cs="Arial"/>
                <w:sz w:val="26"/>
                <w:szCs w:val="26"/>
                <w:lang w:eastAsia="sr-Latn-RS"/>
              </w:rPr>
              <w:br/>
              <w:t>01 Приходи из буџета</w:t>
            </w:r>
            <w:r w:rsidRPr="00AF22EC">
              <w:rPr>
                <w:rFonts w:ascii="Arial" w:eastAsia="Times New Roman" w:hAnsi="Arial" w:cs="Arial"/>
                <w:sz w:val="26"/>
                <w:szCs w:val="26"/>
                <w:lang w:eastAsia="sr-Latn-RS"/>
              </w:rPr>
              <w:br/>
              <w:t>Раздео 20</w:t>
            </w:r>
            <w:r w:rsidRPr="00AF22EC">
              <w:rPr>
                <w:rFonts w:ascii="Arial" w:eastAsia="Times New Roman" w:hAnsi="Arial" w:cs="Arial"/>
                <w:sz w:val="26"/>
                <w:szCs w:val="26"/>
                <w:lang w:eastAsia="sr-Latn-RS"/>
              </w:rPr>
              <w:br/>
              <w:t>Глава 20.0</w:t>
            </w:r>
            <w:r w:rsidRPr="00AF22EC">
              <w:rPr>
                <w:rFonts w:ascii="Arial" w:eastAsia="Times New Roman" w:hAnsi="Arial" w:cs="Arial"/>
                <w:sz w:val="26"/>
                <w:szCs w:val="26"/>
                <w:lang w:eastAsia="sr-Latn-RS"/>
              </w:rPr>
              <w:br/>
              <w:t>Програм 1504</w:t>
            </w:r>
            <w:r w:rsidRPr="00AF22EC">
              <w:rPr>
                <w:rFonts w:ascii="Arial" w:eastAsia="Times New Roman" w:hAnsi="Arial" w:cs="Arial"/>
                <w:sz w:val="26"/>
                <w:szCs w:val="26"/>
                <w:lang w:eastAsia="sr-Latn-RS"/>
              </w:rPr>
              <w:br/>
              <w:t>Функција 410</w:t>
            </w:r>
            <w:r w:rsidRPr="00AF22EC">
              <w:rPr>
                <w:rFonts w:ascii="Arial" w:eastAsia="Times New Roman" w:hAnsi="Arial" w:cs="Arial"/>
                <w:sz w:val="26"/>
                <w:szCs w:val="26"/>
                <w:lang w:eastAsia="sr-Latn-RS"/>
              </w:rPr>
              <w:br/>
              <w:t>Пројекат 4006</w:t>
            </w:r>
            <w:r w:rsidRPr="00AF22EC">
              <w:rPr>
                <w:rFonts w:ascii="Arial" w:eastAsia="Times New Roman" w:hAnsi="Arial" w:cs="Arial"/>
                <w:sz w:val="26"/>
                <w:szCs w:val="26"/>
                <w:lang w:eastAsia="sr-Latn-RS"/>
              </w:rPr>
              <w:br/>
              <w:t>Економска класификација 424</w:t>
            </w:r>
            <w:r w:rsidRPr="00AF22EC">
              <w:rPr>
                <w:rFonts w:ascii="Arial" w:eastAsia="Times New Roman" w:hAnsi="Arial" w:cs="Arial"/>
                <w:sz w:val="26"/>
                <w:szCs w:val="26"/>
                <w:lang w:eastAsia="sr-Latn-RS"/>
              </w:rPr>
              <w:br/>
              <w:t>Специјализоване услуге</w:t>
            </w:r>
            <w:r w:rsidRPr="00AF22EC">
              <w:rPr>
                <w:rFonts w:ascii="Arial" w:eastAsia="Times New Roman" w:hAnsi="Arial" w:cs="Arial"/>
                <w:sz w:val="26"/>
                <w:szCs w:val="26"/>
                <w:lang w:eastAsia="sr-Latn-RS"/>
              </w:rPr>
              <w:br/>
              <w:t xml:space="preserve">Програм стандардизованог сета услуга за МСПП у 2015. години: 37,5 </w:t>
            </w:r>
            <w:r w:rsidRPr="00AF22EC">
              <w:rPr>
                <w:rFonts w:ascii="Arial" w:eastAsia="Times New Roman" w:hAnsi="Arial" w:cs="Arial"/>
                <w:sz w:val="26"/>
                <w:szCs w:val="26"/>
                <w:lang w:eastAsia="sr-Latn-RS"/>
              </w:rPr>
              <w:lastRenderedPageBreak/>
              <w:t>милиона динара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Даљи развој програма подршке кроз које се финансијски подржавају обуке за младе које спроводе Удружења младих и Удружења за младе и њихови савези</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омладине и спорта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Невладине организације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нових програма на годишњем нивоу (два - три)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младих и потенцијалних предузетника који су прошли обуке током једне године (увећање за 10% у односу на претходну годину)</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година:</w:t>
            </w:r>
            <w:r w:rsidRPr="00AF22EC">
              <w:rPr>
                <w:rFonts w:ascii="Arial" w:eastAsia="Times New Roman" w:hAnsi="Arial" w:cs="Arial"/>
                <w:sz w:val="26"/>
                <w:szCs w:val="26"/>
                <w:lang w:eastAsia="sr-Latn-RS"/>
              </w:rPr>
              <w:br/>
              <w:t>01 Приходи из буџета</w:t>
            </w:r>
            <w:r w:rsidRPr="00AF22EC">
              <w:rPr>
                <w:rFonts w:ascii="Arial" w:eastAsia="Times New Roman" w:hAnsi="Arial" w:cs="Arial"/>
                <w:sz w:val="26"/>
                <w:szCs w:val="26"/>
                <w:lang w:eastAsia="sr-Latn-RS"/>
              </w:rPr>
              <w:br/>
              <w:t>Раздео 29</w:t>
            </w:r>
            <w:r w:rsidRPr="00AF22EC">
              <w:rPr>
                <w:rFonts w:ascii="Arial" w:eastAsia="Times New Roman" w:hAnsi="Arial" w:cs="Arial"/>
                <w:sz w:val="26"/>
                <w:szCs w:val="26"/>
                <w:lang w:eastAsia="sr-Latn-RS"/>
              </w:rPr>
              <w:br/>
              <w:t>Функција 810</w:t>
            </w:r>
            <w:r w:rsidRPr="00AF22EC">
              <w:rPr>
                <w:rFonts w:ascii="Arial" w:eastAsia="Times New Roman" w:hAnsi="Arial" w:cs="Arial"/>
                <w:sz w:val="26"/>
                <w:szCs w:val="26"/>
                <w:lang w:eastAsia="sr-Latn-RS"/>
              </w:rPr>
              <w:br/>
              <w:t>Економска класификација 481</w:t>
            </w:r>
            <w:r w:rsidRPr="00AF22EC">
              <w:rPr>
                <w:rFonts w:ascii="Arial" w:eastAsia="Times New Roman" w:hAnsi="Arial" w:cs="Arial"/>
                <w:sz w:val="26"/>
                <w:szCs w:val="26"/>
                <w:lang w:eastAsia="sr-Latn-RS"/>
              </w:rPr>
              <w:br/>
              <w:t>Дотације невладиним организацијама</w:t>
            </w:r>
            <w:r w:rsidRPr="00AF22EC">
              <w:rPr>
                <w:rFonts w:ascii="Arial" w:eastAsia="Times New Roman" w:hAnsi="Arial" w:cs="Arial"/>
                <w:sz w:val="26"/>
                <w:szCs w:val="26"/>
                <w:lang w:eastAsia="sr-Latn-RS"/>
              </w:rPr>
              <w:br/>
              <w:t>Економска класификација 424</w:t>
            </w:r>
            <w:r w:rsidRPr="00AF22EC">
              <w:rPr>
                <w:rFonts w:ascii="Arial" w:eastAsia="Times New Roman" w:hAnsi="Arial" w:cs="Arial"/>
                <w:sz w:val="26"/>
                <w:szCs w:val="26"/>
                <w:lang w:eastAsia="sr-Latn-RS"/>
              </w:rPr>
              <w:br/>
              <w:t>Специјализоване услуге</w:t>
            </w:r>
            <w:r w:rsidRPr="00AF22EC">
              <w:rPr>
                <w:rFonts w:ascii="Arial" w:eastAsia="Times New Roman" w:hAnsi="Arial" w:cs="Arial"/>
                <w:sz w:val="26"/>
                <w:szCs w:val="26"/>
                <w:lang w:eastAsia="sr-Latn-RS"/>
              </w:rPr>
              <w:br/>
              <w:t>Програм омладинска политика у областима омладинског сектора 160 милиона динара (један део средстава иде на подршку предузетништву)</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4.2 Димензија</w:t>
            </w:r>
            <w:r w:rsidRPr="00AF22EC">
              <w:rPr>
                <w:rFonts w:ascii="Arial" w:eastAsia="Times New Roman" w:hAnsi="Arial" w:cs="Arial"/>
                <w:sz w:val="26"/>
                <w:szCs w:val="26"/>
                <w:lang w:eastAsia="sr-Latn-RS"/>
              </w:rPr>
              <w:br/>
              <w:t>Спе</w:t>
            </w:r>
            <w:r w:rsidRPr="00AF22EC">
              <w:rPr>
                <w:rFonts w:ascii="Arial" w:eastAsia="Times New Roman" w:hAnsi="Arial" w:cs="Arial"/>
                <w:sz w:val="26"/>
                <w:szCs w:val="26"/>
                <w:lang w:eastAsia="sr-Latn-RS"/>
              </w:rPr>
              <w:lastRenderedPageBreak/>
              <w:t>цифични циљ</w:t>
            </w:r>
          </w:p>
        </w:tc>
        <w:tc>
          <w:tcPr>
            <w:tcW w:w="4962" w:type="dxa"/>
            <w:gridSpan w:val="4"/>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Назив</w:t>
            </w:r>
          </w:p>
        </w:tc>
        <w:tc>
          <w:tcPr>
            <w:tcW w:w="4254" w:type="dxa"/>
            <w:gridSpan w:val="4"/>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Оптимизација и унапређење степена искоришћености постојеће и изградња нове пословне инфраструктуре</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w:t>
            </w:r>
          </w:p>
        </w:tc>
        <w:tc>
          <w:tcPr>
            <w:tcW w:w="4962" w:type="dxa"/>
            <w:gridSpan w:val="4"/>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254" w:type="dxa"/>
            <w:gridSpan w:val="4"/>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Системско уређивање развоја пословне инфраструктуре</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правног оквира за дефинисање пословне инфраструктуре и Катастра пословне инфраструктуре</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РГЗ</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АПР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правни оквир за дефинисање пословне инфраструктуре и Катастра пословне инфраструктуре</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Креирање просторног регистра индустријских зона у Републици Србији</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Урађено евидентирање постојећих индустријских зона у Републици Србији</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Израда анализе тренутног стања, потреба и могућности за даљи развој пословне инфраструктуре у циљу израде планског документа којим ће се утврдити приоритети будућих улагања у пословну инфраструктуру </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Припремљена анализа са препорукама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Праћење рада и процена ефеката рада субјеката пословне инфраструктуре</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Изграђени механизми за праћење рада и процену ефеката пословне инфраструктуре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први годишњи извештај</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Развој пословне инфраструктуре намењене иновативним МСПП</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Успоставити правни оквир којим би се уредило оснивање, правни статус и управљање технолошким парковима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Установљен правни оквир за оснивање и управљање технолошким парковима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Стављање у функцију постојећих научно - технолошких паркова и развој услуга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Припремљени пословни модели рада научно - технолошких паркова, који обухватају и пословну инкубацију (Београд, Ниш, Нови Сад и Крагујевац)</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Постављен менаџмент и покренут пријем </w:t>
            </w:r>
            <w:r w:rsidRPr="00AF22EC">
              <w:rPr>
                <w:rFonts w:ascii="Arial" w:eastAsia="Times New Roman" w:hAnsi="Arial" w:cs="Arial"/>
                <w:sz w:val="26"/>
                <w:szCs w:val="26"/>
                <w:lang w:eastAsia="sr-Latn-RS"/>
              </w:rPr>
              <w:lastRenderedPageBreak/>
              <w:t>станара у сва четири научно - технолошка парка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01 Приходи из буџета Раздео 24,</w:t>
            </w:r>
            <w:r w:rsidRPr="00AF22EC">
              <w:rPr>
                <w:rFonts w:ascii="Arial" w:eastAsia="Times New Roman" w:hAnsi="Arial" w:cs="Arial"/>
                <w:sz w:val="26"/>
                <w:szCs w:val="26"/>
                <w:lang w:eastAsia="sr-Latn-RS"/>
              </w:rPr>
              <w:br/>
              <w:t>Програм 0201 развој науке и технологије</w:t>
            </w:r>
            <w:r w:rsidRPr="00AF22EC">
              <w:rPr>
                <w:rFonts w:ascii="Arial" w:eastAsia="Times New Roman" w:hAnsi="Arial" w:cs="Arial"/>
                <w:sz w:val="26"/>
                <w:szCs w:val="26"/>
                <w:lang w:eastAsia="sr-Latn-RS"/>
              </w:rPr>
              <w:br/>
              <w:t>Функција 140 основна истраживања</w:t>
            </w:r>
            <w:r w:rsidRPr="00AF22EC">
              <w:rPr>
                <w:rFonts w:ascii="Arial" w:eastAsia="Times New Roman" w:hAnsi="Arial" w:cs="Arial"/>
                <w:sz w:val="26"/>
                <w:szCs w:val="26"/>
                <w:lang w:eastAsia="sr-Latn-RS"/>
              </w:rPr>
              <w:br/>
              <w:t xml:space="preserve">Програмска активност </w:t>
            </w:r>
            <w:r w:rsidRPr="00AF22EC">
              <w:rPr>
                <w:rFonts w:ascii="Arial" w:eastAsia="Times New Roman" w:hAnsi="Arial" w:cs="Arial"/>
                <w:sz w:val="26"/>
                <w:szCs w:val="26"/>
                <w:lang w:eastAsia="sr-Latn-RS"/>
              </w:rPr>
              <w:lastRenderedPageBreak/>
              <w:t>0002 подршка реализацији интереса у иновационој делатности</w:t>
            </w:r>
            <w:r w:rsidRPr="00AF22EC">
              <w:rPr>
                <w:rFonts w:ascii="Arial" w:eastAsia="Times New Roman" w:hAnsi="Arial" w:cs="Arial"/>
                <w:sz w:val="26"/>
                <w:szCs w:val="26"/>
                <w:lang w:eastAsia="sr-Latn-RS"/>
              </w:rPr>
              <w:br/>
              <w:t>Економска класификација 424 специјализоване услуге</w:t>
            </w:r>
            <w:r w:rsidRPr="00AF22EC">
              <w:rPr>
                <w:rFonts w:ascii="Arial" w:eastAsia="Times New Roman" w:hAnsi="Arial" w:cs="Arial"/>
                <w:sz w:val="26"/>
                <w:szCs w:val="26"/>
                <w:lang w:eastAsia="sr-Latn-RS"/>
              </w:rPr>
              <w:br/>
              <w:t>05 Донације од иностраних земаља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Промотивне активности на јачању свести код младих, потенцијалних предузетника о могућностима и користима које могу да остваре кроз технолошке инкубаторе</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Центар за промоцију науке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Фонд за иновациону делатност</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Спроведене кампање и промотивни догађаји на факултетима (минимум два промотивна догађаја у току године)</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Развијање нових услуга, јачање и унапређење капацитета менаџмента научно - технолошких паркова и технолошких инкубатора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Реализоване обуке менаџмента научно - технолошких паркова и технолошких инкубатора (три-пет </w:t>
            </w:r>
            <w:r w:rsidRPr="00AF22EC">
              <w:rPr>
                <w:rFonts w:ascii="Arial" w:eastAsia="Times New Roman" w:hAnsi="Arial" w:cs="Arial"/>
                <w:sz w:val="26"/>
                <w:szCs w:val="26"/>
                <w:lang w:eastAsia="sr-Latn-RS"/>
              </w:rPr>
              <w:lastRenderedPageBreak/>
              <w:t>реализованих обука у току године)</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2016 година:</w:t>
            </w:r>
            <w:r w:rsidRPr="00AF22EC">
              <w:rPr>
                <w:rFonts w:ascii="Arial" w:eastAsia="Times New Roman" w:hAnsi="Arial" w:cs="Arial"/>
                <w:sz w:val="26"/>
                <w:szCs w:val="26"/>
                <w:lang w:eastAsia="sr-Latn-RS"/>
              </w:rPr>
              <w:br/>
              <w:t>01 Приходи из буџета (ко-финансирање)</w:t>
            </w:r>
            <w:r w:rsidRPr="00AF22EC">
              <w:rPr>
                <w:rFonts w:ascii="Arial" w:eastAsia="Times New Roman" w:hAnsi="Arial" w:cs="Arial"/>
                <w:sz w:val="26"/>
                <w:szCs w:val="26"/>
                <w:lang w:eastAsia="sr-Latn-RS"/>
              </w:rPr>
              <w:br/>
              <w:t xml:space="preserve">150.000 </w:t>
            </w:r>
            <w:r w:rsidRPr="00AF22EC">
              <w:rPr>
                <w:rFonts w:ascii="Arial" w:eastAsia="Times New Roman" w:hAnsi="Arial" w:cs="Arial"/>
                <w:sz w:val="26"/>
                <w:szCs w:val="26"/>
                <w:lang w:eastAsia="sr-Latn-RS"/>
              </w:rPr>
              <w:lastRenderedPageBreak/>
              <w:t>евра</w:t>
            </w:r>
            <w:r w:rsidRPr="00AF22EC">
              <w:rPr>
                <w:rFonts w:ascii="Arial" w:eastAsia="Times New Roman" w:hAnsi="Arial" w:cs="Arial"/>
                <w:sz w:val="26"/>
                <w:szCs w:val="26"/>
                <w:lang w:eastAsia="sr-Latn-RS"/>
              </w:rPr>
              <w:br/>
              <w:t>05 Донације од иностраних земаља</w:t>
            </w:r>
            <w:r w:rsidRPr="00AF22EC">
              <w:rPr>
                <w:rFonts w:ascii="Arial" w:eastAsia="Times New Roman" w:hAnsi="Arial" w:cs="Arial"/>
                <w:sz w:val="26"/>
                <w:szCs w:val="26"/>
                <w:lang w:eastAsia="sr-Latn-RS"/>
              </w:rPr>
              <w:br/>
              <w:t>ИПА 2014 - Подршка пословним инкубаторима за унапређење услуга подршке МСПП: 1.350.000 евра</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Развој пословне инфраструктуре за потребе регионалног и локалног економског развоја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основу анализе стања и могућности за развој пословних инкубатора, припремити предлог "мапе пута" за даљи развој пословне инкубације у Србији и започети њено спровођење</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АЦЦЕСС/ГИЗ</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предлог "мапе пута" за даљи развој пословне инкубације у Србији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Завршена прва фаза активности из "мапе пута" која се односи на информисање и промовисање концепта пословне инкубације</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пројекта АЦЦЕСС/ГИЗ</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Реализовати програм директне финансијске подршке постојећим бизнис инкубаторима ради покривања оперативних трошкова рада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Подржано минимум пет бизнис инкубатора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Анализирати регионалну развијеност Републике Србије и утврдити потенцијалне локације за успостављање индустријских паркова/зона, као и ефекте и сврсисходност постојећих индустријских паркова/зона </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Израђена анализа и утврђене потенцијалне локације за успостављање индустријских паркова/зона (уз евентуално смањење садашњег броја локација са циљем ефикасније подршке изградњи инфраструктуре на основу расположивих средстава)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Израђена анализа ефеката и сврсисходности постојећих паркова/зона (уз давање препорука за даљи развој)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Припрема пројеката и усмеравање улагања ка опремању постојећих и будућих индустријских </w:t>
            </w:r>
            <w:r w:rsidRPr="00AF22EC">
              <w:rPr>
                <w:rFonts w:ascii="Arial" w:eastAsia="Times New Roman" w:hAnsi="Arial" w:cs="Arial"/>
                <w:sz w:val="26"/>
                <w:szCs w:val="26"/>
                <w:lang w:eastAsia="sr-Latn-RS"/>
              </w:rPr>
              <w:lastRenderedPageBreak/>
              <w:t>паркова/зона енергетском, комуналном и саобраћајном инфраструктуром</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СКГО</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Припремљени предлози пројеката према методологији </w:t>
            </w:r>
            <w:r w:rsidRPr="00AF22EC">
              <w:rPr>
                <w:rFonts w:ascii="Arial" w:eastAsia="Times New Roman" w:hAnsi="Arial" w:cs="Arial"/>
                <w:sz w:val="26"/>
                <w:szCs w:val="26"/>
                <w:lang w:eastAsia="sr-Latn-RS"/>
              </w:rPr>
              <w:lastRenderedPageBreak/>
              <w:t>која одговара предвиђеним изворима финансирања (ИПА фондови)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Извршена улагања у инфраструктурно опремање индустријских паркова/зона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Јачање способности и капацитета управе постојећих инкубатора (обуке, размена искустава и сл)</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СКГО</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Реализација обука, студијских посета, стручних усавршавања и сл. (минимум једна студијска посета, два стручна усавршавања и пет специјализованих обука по инкубатору)</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01 Приходи из буџета (ко-финансирање)</w:t>
            </w:r>
            <w:r w:rsidRPr="00AF22EC">
              <w:rPr>
                <w:rFonts w:ascii="Arial" w:eastAsia="Times New Roman" w:hAnsi="Arial" w:cs="Arial"/>
                <w:sz w:val="26"/>
                <w:szCs w:val="26"/>
                <w:lang w:eastAsia="sr-Latn-RS"/>
              </w:rPr>
              <w:br/>
              <w:t>150.000 евра</w:t>
            </w:r>
            <w:r w:rsidRPr="00AF22EC">
              <w:rPr>
                <w:rFonts w:ascii="Arial" w:eastAsia="Times New Roman" w:hAnsi="Arial" w:cs="Arial"/>
                <w:sz w:val="26"/>
                <w:szCs w:val="26"/>
                <w:lang w:eastAsia="sr-Latn-RS"/>
              </w:rPr>
              <w:br/>
              <w:t>05 Донације од иностраних земаља</w:t>
            </w:r>
            <w:r w:rsidRPr="00AF22EC">
              <w:rPr>
                <w:rFonts w:ascii="Arial" w:eastAsia="Times New Roman" w:hAnsi="Arial" w:cs="Arial"/>
                <w:sz w:val="26"/>
                <w:szCs w:val="26"/>
                <w:lang w:eastAsia="sr-Latn-RS"/>
              </w:rPr>
              <w:br/>
              <w:t>ИПА 2014 - Подршка пословним инкубаторима за унапређење услуга подршке МСПП: 1.350.000 евра </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4.3 Димензија</w:t>
            </w:r>
            <w:r w:rsidRPr="00AF22EC">
              <w:rPr>
                <w:rFonts w:ascii="Arial" w:eastAsia="Times New Roman" w:hAnsi="Arial" w:cs="Arial"/>
                <w:sz w:val="26"/>
                <w:szCs w:val="26"/>
                <w:lang w:eastAsia="sr-Latn-RS"/>
              </w:rPr>
              <w:br/>
              <w:t>Специф</w:t>
            </w:r>
            <w:r w:rsidRPr="00AF22EC">
              <w:rPr>
                <w:rFonts w:ascii="Arial" w:eastAsia="Times New Roman" w:hAnsi="Arial" w:cs="Arial"/>
                <w:sz w:val="26"/>
                <w:szCs w:val="26"/>
                <w:lang w:eastAsia="sr-Latn-RS"/>
              </w:rPr>
              <w:lastRenderedPageBreak/>
              <w:t>ични циљ</w:t>
            </w:r>
          </w:p>
        </w:tc>
        <w:tc>
          <w:tcPr>
            <w:tcW w:w="4962" w:type="dxa"/>
            <w:gridSpan w:val="4"/>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Назив</w:t>
            </w:r>
          </w:p>
        </w:tc>
        <w:tc>
          <w:tcPr>
            <w:tcW w:w="4254" w:type="dxa"/>
            <w:gridSpan w:val="4"/>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Јачање иновативности у МСПП</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w:t>
            </w:r>
          </w:p>
        </w:tc>
        <w:tc>
          <w:tcPr>
            <w:tcW w:w="4962" w:type="dxa"/>
            <w:gridSpan w:val="4"/>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254" w:type="dxa"/>
            <w:gridSpan w:val="4"/>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Унапређење функционалности националног иновационог система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Реорганизација мреже научно-истраживачких организација (у даљем тексту: НИО) са фокусом на потребе и захтеве привреде</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Три реорганизоване НИО</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Финансирање кроз ИПА фондове , пројекат "СЕРБИА ИННОВАТИОН ПРОЈЕЦТ" који спроводи Светска банка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Анализа потреба и захтева привреде за услугама научно - истраживачких организација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Извештај о спроведеној анализи потреба приоритетних индустријских сектора за услугама НИО</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Дефинисање услуга које свака од НИО може пружити привредним друштвима и постављање на интернет презентацију организације, уз прилагођавање тако </w:t>
            </w:r>
            <w:r w:rsidRPr="00AF22EC">
              <w:rPr>
                <w:rFonts w:ascii="Arial" w:eastAsia="Times New Roman" w:hAnsi="Arial" w:cs="Arial"/>
                <w:sz w:val="26"/>
                <w:szCs w:val="26"/>
                <w:lang w:eastAsia="sr-Latn-RS"/>
              </w:rPr>
              <w:lastRenderedPageBreak/>
              <w:t>да страница има већу прегледност</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Јавно доступне и обједињене информације о понуди услуга НИО привреди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Број ажурираних </w:t>
            </w:r>
            <w:r w:rsidRPr="00AF22EC">
              <w:rPr>
                <w:rFonts w:ascii="Arial" w:eastAsia="Times New Roman" w:hAnsi="Arial" w:cs="Arial"/>
                <w:sz w:val="26"/>
                <w:szCs w:val="26"/>
                <w:lang w:eastAsia="sr-Latn-RS"/>
              </w:rPr>
              <w:lastRenderedPageBreak/>
              <w:t>интернет презентација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посета предузећа интернет презентацијама НИО (повећање броја нових услуга за привреду од 20% у првих шест месеци на кон ажурирања ове интернет презентације)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Суфинансирања заједничких пројеката НИО и привредних друштава/индустрије</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Фонд за иновациону делатност</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заједничких пројеката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нових производа/технологија/услуга/процеса (повећање од 10% у односу на број заједничких пројеката у претходној години)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А5</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Наставак спровођења Програма раног развоја, намењеног кофинансирању иновативних привредних субјеката у раној фази развоја и Програма суфинансирања </w:t>
            </w:r>
            <w:r w:rsidRPr="00AF22EC">
              <w:rPr>
                <w:rFonts w:ascii="Arial" w:eastAsia="Times New Roman" w:hAnsi="Arial" w:cs="Arial"/>
                <w:sz w:val="26"/>
                <w:szCs w:val="26"/>
                <w:lang w:eastAsia="sr-Latn-RS"/>
              </w:rPr>
              <w:lastRenderedPageBreak/>
              <w:t>иновација, намењеног за микро и мале привредне субјекте који желе да кроз развој нових и унапређених производа и услуга побољшају своје присуство на домаћем и међународном тржишту </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Фонд за иновациону делатност</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Број суфинансираних пројеката привредних субјеката кроз Програм раног развоја и Програм </w:t>
            </w:r>
            <w:r w:rsidRPr="00AF22EC">
              <w:rPr>
                <w:rFonts w:ascii="Arial" w:eastAsia="Times New Roman" w:hAnsi="Arial" w:cs="Arial"/>
                <w:sz w:val="26"/>
                <w:szCs w:val="26"/>
                <w:lang w:eastAsia="sr-Latn-RS"/>
              </w:rPr>
              <w:lastRenderedPageBreak/>
              <w:t>суфинасирања иновација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суфинансираних заједничких пројеката привредних субјеката из приватног сектора и научно истраживачких организација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А6</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шеме иновационих ваучера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Формирана база институција код којих се иновациони ваучери могу користити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Припремљена програмска шема за реализацију шеме иновационих ваучера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А7</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Омогућити "докторате у предузећима" (индустриал ПхДс)</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2016 </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Створен правни оквир и механизми за "докторате у предузећима"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Развити свест предузећа о користима од доктораната у предузећима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А8</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Ставити у функцију услуге технолошких брокера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вишегодишњи план финансијске подршке раду мреже технолошких брокера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Минимум пет закључених уговора између МСПП и НИО на основу посредовања технолошких брокера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А9</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Ојачати капацитете центара за трансфер технологија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план за даљи развој центара за трансфер технологије и унапређење њихових услуга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пружених услуга (минимум два закључена уговора годишње)</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Донаторски пројекти, пројекти кроз ЕУ програм Хоризон 2020, Програм ЕРАСМУС - финансирање људских капацитета преко универзитета </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А10</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Мапирати потенцијале креативне индустрије у Србији и припремити препоруке за даљи развој</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ПКС</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Извештај о спроведеној анализи</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Унапредити подршку за високоиновативна МСПП, еко-иновације, унапређење енергетске ефикасности и ефикасног коришћења ресурса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Подржати оснивање нових привредних друштава на основу истраживања на универзитету ("спин-офф")</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Фонд за иновациону делатност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Технолошки инкубатори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Подржано оснивање минимум пет нових "спин-офф" предузећа кроз Програм раног развоја и подршку технолошких инкубатора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Организовати радионице о значају еко - иновација и зелене економије</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унапређивање образовања и васпитања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пољопривреде и заштите животне средине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Европска мрежа предузетништва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одржаних радионица (минимум једна радионица у току године у сваком региону)</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Утврдити минимум два примера добре праксе годишње и промовисати их на свим догађајима и у медијима </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Пружити стручну помоћ предузећима за припрему предлога пројеката за еко-иновације у оквиру програма ЕУ Хоризон 2020</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Европска мрежа предузетништва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подржаних предузећа (минимум три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добијених пројеката (минимум један годишње)</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r w:rsidRPr="00AF22EC">
              <w:rPr>
                <w:rFonts w:ascii="Arial" w:eastAsia="Times New Roman" w:hAnsi="Arial" w:cs="Arial"/>
                <w:sz w:val="26"/>
                <w:szCs w:val="26"/>
                <w:lang w:eastAsia="sr-Latn-RS"/>
              </w:rPr>
              <w:br/>
              <w:t>ПКС - пројекат Европска мрежа предузетништва</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Пружити подршку за бољу абсорпцију и коришћење средстава из програма ЕУ - Хоризон 2020 за истраживање, развој и иновације</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Организовати инфо дане за МСПП и НИО са циљем промоције јавних позива у оквиру Хоризон 2020</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Европска мрежа предузетништва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Кластери и друга пословна удружења</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Минимум један информативни дан по региону по објављивању јавних позива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Утврдити минимум један пример добре праксе годишње и промовисати га на свим догађајима и у медијима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r w:rsidRPr="00AF22EC">
              <w:rPr>
                <w:rFonts w:ascii="Arial" w:eastAsia="Times New Roman" w:hAnsi="Arial" w:cs="Arial"/>
                <w:sz w:val="26"/>
                <w:szCs w:val="26"/>
                <w:lang w:eastAsia="sr-Latn-RS"/>
              </w:rPr>
              <w:br/>
              <w:t>ПКС - пројекат Европска мрежа предузетништва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Организовати обуке МСПП за писање предлога пројеката из програма Хоризон 2020 за програм МСП инструмент</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Европска мрежа предузетништва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одржаних обука (минимум једна обука по региону у току године)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Број поднетих предлога пројеката (минимум три поднета предлога у току године)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добијених пројеката (минимум један годишње)</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ГИЗ спроводи пилот пројекат - Општински економски развој у </w:t>
            </w:r>
            <w:r w:rsidRPr="00AF22EC">
              <w:rPr>
                <w:rFonts w:ascii="Arial" w:eastAsia="Times New Roman" w:hAnsi="Arial" w:cs="Arial"/>
                <w:sz w:val="26"/>
                <w:szCs w:val="26"/>
                <w:lang w:eastAsia="sr-Latn-RS"/>
              </w:rPr>
              <w:lastRenderedPageBreak/>
              <w:t>Источној Србији кроз Републичку агенцију за развој Источне Србије, Зајечар у вези са писањем предлога пројекта из програма Хоризон 2020 за МСП инструмент </w:t>
            </w:r>
            <w:r w:rsidRPr="00AF22EC">
              <w:rPr>
                <w:rFonts w:ascii="Arial" w:eastAsia="Times New Roman" w:hAnsi="Arial" w:cs="Arial"/>
                <w:sz w:val="26"/>
                <w:szCs w:val="26"/>
                <w:lang w:eastAsia="sr-Latn-RS"/>
              </w:rPr>
              <w:br/>
              <w:t>ПКС - пројекат Европска мрежа предузетништва</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 Јачати свест МСПП о значају иновативности за њихову конкурентност</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Промовисати примере добре праксе иновативних МСПП, сарадњу НИО и МСПП на конкретним пројектима, као и МСПП која користе услуге креативне индустрије</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ПКС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Кластери и друга пословна удружења</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2015 2016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одржаних радионица (три-пет радионица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Број брошура са примерима добре праксе (једна </w:t>
            </w:r>
            <w:r w:rsidRPr="00AF22EC">
              <w:rPr>
                <w:rFonts w:ascii="Arial" w:eastAsia="Times New Roman" w:hAnsi="Arial" w:cs="Arial"/>
                <w:sz w:val="26"/>
                <w:szCs w:val="26"/>
                <w:lang w:eastAsia="sr-Latn-RS"/>
              </w:rPr>
              <w:lastRenderedPageBreak/>
              <w:t>брошура годишње)</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r w:rsidRPr="00AF22EC">
              <w:rPr>
                <w:rFonts w:ascii="Arial" w:eastAsia="Times New Roman" w:hAnsi="Arial" w:cs="Arial"/>
                <w:sz w:val="26"/>
                <w:szCs w:val="26"/>
                <w:lang w:eastAsia="sr-Latn-RS"/>
              </w:rPr>
              <w:br/>
              <w:t>Буџет ПКС</w:t>
            </w:r>
          </w:p>
        </w:tc>
      </w:tr>
      <w:tr w:rsidR="00AF22EC" w:rsidRPr="00AF22EC" w:rsidTr="00740C20">
        <w:trPr>
          <w:gridAfter w:val="3"/>
          <w:wAfter w:w="4132" w:type="dxa"/>
          <w:tblCellSpacing w:w="0" w:type="dxa"/>
        </w:trPr>
        <w:tc>
          <w:tcPr>
            <w:tcW w:w="9915" w:type="dxa"/>
            <w:gridSpan w:val="9"/>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4.4 Димензија</w:t>
            </w:r>
            <w:r w:rsidRPr="00AF22EC">
              <w:rPr>
                <w:rFonts w:ascii="Arial" w:eastAsia="Times New Roman" w:hAnsi="Arial" w:cs="Arial"/>
                <w:sz w:val="26"/>
                <w:szCs w:val="26"/>
                <w:lang w:eastAsia="sr-Latn-RS"/>
              </w:rPr>
              <w:br/>
              <w:t>Специфичан циљ</w:t>
            </w:r>
          </w:p>
        </w:tc>
        <w:tc>
          <w:tcPr>
            <w:tcW w:w="4962" w:type="dxa"/>
            <w:gridSpan w:val="4"/>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w:t>
            </w:r>
          </w:p>
        </w:tc>
        <w:tc>
          <w:tcPr>
            <w:tcW w:w="4254" w:type="dxa"/>
            <w:gridSpan w:val="4"/>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Стимулисање пословног удруживања и креирања ланаца вредности</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962" w:type="dxa"/>
            <w:gridSpan w:val="4"/>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254" w:type="dxa"/>
            <w:gridSpan w:val="4"/>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Подршка заједничком наступу на тржишту</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Наставак програма финансијске подршке развоју кластера, са посебним акцентом на развој заједничких производа и заједничке понуде за извозна тржишта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Агенција за страна улагања и промоцију извоза (у даљем тексту: СИЕПА) у сарадњи са удружењима и кластерима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нових кластера/конзорцијума (два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Раст постојећих кластера (5-10%)</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Раст извоза кластера/конзорцијума (за 15%)</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Пораст броја купаца (за 10%)</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216" w:type="dxa"/>
            <w:gridSpan w:val="8"/>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Креирање нових ланаца вредности и повећање степена финализације производа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Број</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9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41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Организовање догађаја "Упознај купца"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у сарадњи са удружењима и кластерима </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2015 2016</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догађаја (два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учесника (50 по догађају)</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остварених контаката (100 по догађају)</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Обим остварене сарадње (5 милиона евра)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r w:rsidRPr="00AF22EC">
              <w:rPr>
                <w:rFonts w:ascii="Arial" w:eastAsia="Times New Roman" w:hAnsi="Arial" w:cs="Arial"/>
                <w:sz w:val="26"/>
                <w:szCs w:val="26"/>
                <w:lang w:eastAsia="sr-Latn-RS"/>
              </w:rPr>
              <w:br/>
              <w:t>Буџет ПКС</w:t>
            </w:r>
          </w:p>
        </w:tc>
      </w:tr>
      <w:tr w:rsidR="00740C20" w:rsidRPr="00AF22EC" w:rsidTr="00740C20">
        <w:trPr>
          <w:gridAfter w:val="3"/>
          <w:wAfter w:w="4132" w:type="dxa"/>
          <w:tblCellSpacing w:w="0" w:type="dxa"/>
        </w:trPr>
        <w:tc>
          <w:tcPr>
            <w:tcW w:w="69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83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Анализа могућности укључивања креативне индустрије у ланце вредности традиционалних индустрија</w:t>
            </w:r>
          </w:p>
        </w:tc>
        <w:tc>
          <w:tcPr>
            <w:tcW w:w="2127"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у сарадњи са удружењима и кластерима</w:t>
            </w:r>
          </w:p>
        </w:tc>
        <w:tc>
          <w:tcPr>
            <w:tcW w:w="9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842"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Припремљена студија са препорукама</w:t>
            </w:r>
          </w:p>
        </w:tc>
        <w:tc>
          <w:tcPr>
            <w:tcW w:w="141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ПКС</w:t>
            </w:r>
          </w:p>
        </w:tc>
      </w:tr>
    </w:tbl>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t> </w:t>
      </w:r>
    </w:p>
    <w:tbl>
      <w:tblPr>
        <w:tblW w:w="10198" w:type="dxa"/>
        <w:tblCellSpacing w:w="0" w:type="dxa"/>
        <w:tblBorders>
          <w:top w:val="inset" w:sz="6" w:space="0" w:color="000000"/>
          <w:left w:val="inset" w:sz="6" w:space="0" w:color="000000"/>
          <w:bottom w:val="inset" w:sz="6" w:space="0" w:color="000000"/>
          <w:right w:val="in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126"/>
        <w:gridCol w:w="2694"/>
        <w:gridCol w:w="1842"/>
        <w:gridCol w:w="709"/>
        <w:gridCol w:w="1985"/>
        <w:gridCol w:w="1842"/>
      </w:tblGrid>
      <w:tr w:rsidR="00AF22EC" w:rsidRPr="00AF22EC" w:rsidTr="00740C20">
        <w:trPr>
          <w:tblCellSpacing w:w="0" w:type="dxa"/>
        </w:trPr>
        <w:tc>
          <w:tcPr>
            <w:tcW w:w="10198"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240" w:after="240" w:line="240" w:lineRule="auto"/>
              <w:jc w:val="center"/>
              <w:rPr>
                <w:rFonts w:ascii="Arial" w:eastAsia="Times New Roman" w:hAnsi="Arial" w:cs="Arial"/>
                <w:b/>
                <w:bCs/>
                <w:sz w:val="29"/>
                <w:szCs w:val="29"/>
                <w:lang w:eastAsia="sr-Latn-RS"/>
              </w:rPr>
            </w:pPr>
            <w:bookmarkStart w:id="25" w:name="str_25"/>
            <w:bookmarkEnd w:id="25"/>
            <w:r w:rsidRPr="00AF22EC">
              <w:rPr>
                <w:rFonts w:ascii="Arial" w:eastAsia="Times New Roman" w:hAnsi="Arial" w:cs="Arial"/>
                <w:b/>
                <w:bCs/>
                <w:sz w:val="29"/>
                <w:szCs w:val="29"/>
                <w:lang w:eastAsia="sr-Latn-RS"/>
              </w:rPr>
              <w:t>Стуб 5</w:t>
            </w:r>
          </w:p>
          <w:p w:rsidR="00AF22EC" w:rsidRPr="00AF22EC" w:rsidRDefault="00AF22EC" w:rsidP="00AF22EC">
            <w:pPr>
              <w:spacing w:before="240" w:after="240" w:line="240" w:lineRule="auto"/>
              <w:jc w:val="center"/>
              <w:rPr>
                <w:rFonts w:ascii="Arial" w:eastAsia="Times New Roman" w:hAnsi="Arial" w:cs="Arial"/>
                <w:b/>
                <w:bCs/>
                <w:sz w:val="29"/>
                <w:szCs w:val="29"/>
                <w:lang w:eastAsia="sr-Latn-RS"/>
              </w:rPr>
            </w:pPr>
            <w:r w:rsidRPr="00AF22EC">
              <w:rPr>
                <w:rFonts w:ascii="Arial" w:eastAsia="Times New Roman" w:hAnsi="Arial" w:cs="Arial"/>
                <w:b/>
                <w:bCs/>
                <w:sz w:val="29"/>
                <w:szCs w:val="29"/>
                <w:lang w:eastAsia="sr-Latn-RS"/>
              </w:rPr>
              <w:t>ОПШТИ ЦИЉ - УНАПРЕЂЕЊЕ ПРИСТУПА НОВИМ ТРЖИШТИМА</w:t>
            </w:r>
          </w:p>
        </w:tc>
      </w:tr>
      <w:tr w:rsidR="00AF22EC" w:rsidRPr="00AF22EC" w:rsidTr="00740C20">
        <w:trPr>
          <w:tblCellSpacing w:w="0" w:type="dxa"/>
        </w:trPr>
        <w:tc>
          <w:tcPr>
            <w:tcW w:w="10198"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5.1 Димензија</w:t>
            </w:r>
            <w:r w:rsidRPr="00AF22EC">
              <w:rPr>
                <w:rFonts w:ascii="Arial" w:eastAsia="Times New Roman" w:hAnsi="Arial" w:cs="Arial"/>
                <w:sz w:val="26"/>
                <w:szCs w:val="26"/>
                <w:lang w:eastAsia="sr-Latn-RS"/>
              </w:rPr>
              <w:br/>
              <w:t>Специф</w:t>
            </w:r>
            <w:r w:rsidRPr="00AF22EC">
              <w:rPr>
                <w:rFonts w:ascii="Arial" w:eastAsia="Times New Roman" w:hAnsi="Arial" w:cs="Arial"/>
                <w:sz w:val="26"/>
                <w:szCs w:val="26"/>
                <w:lang w:eastAsia="sr-Latn-RS"/>
              </w:rPr>
              <w:lastRenderedPageBreak/>
              <w:t>ичан циљ</w:t>
            </w:r>
          </w:p>
        </w:tc>
        <w:tc>
          <w:tcPr>
            <w:tcW w:w="4536"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Назив</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Обезбеђивање континуиране подршке МСПП за излазак на нова тржишта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w:t>
            </w:r>
          </w:p>
        </w:tc>
        <w:tc>
          <w:tcPr>
            <w:tcW w:w="4536"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536"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072"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Унапређење доступности и квалитета расположивих информација о страним (приоритетним) тржиштима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6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70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98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постојећег портала за извознике на сајту СИЕПА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Већи обим и квалитет информација (све информације неопходне извозницима, почевши од техничких смерница у вези са извозом до специфичних информација неопходних за пословање на одређеним приоритетним тржиштима)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Већи број приступа порталу (до 500 приступа месечно)</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Израда и редовно ажурирање информација о најважнијим извозним тржиштима (са информацијама о царинама, извозним преференцијалима, правилима о </w:t>
            </w:r>
            <w:r w:rsidRPr="00AF22EC">
              <w:rPr>
                <w:rFonts w:ascii="Arial" w:eastAsia="Times New Roman" w:hAnsi="Arial" w:cs="Arial"/>
                <w:sz w:val="26"/>
                <w:szCs w:val="26"/>
                <w:lang w:eastAsia="sr-Latn-RS"/>
              </w:rPr>
              <w:lastRenderedPageBreak/>
              <w:t>пореклу, правном оквиру, захтевима за сигурност производа, паковању и означавању, доказивању усаглашености, слободним зонама, логистици, фактурисању, методу плаћања, транспорту, процени ризика и осигурању, ПДВ и сл)</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СИЕПА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спољних послова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Министарство трговине, туризма и </w:t>
            </w:r>
            <w:r w:rsidRPr="00AF22EC">
              <w:rPr>
                <w:rFonts w:ascii="Arial" w:eastAsia="Times New Roman" w:hAnsi="Arial" w:cs="Arial"/>
                <w:sz w:val="26"/>
                <w:szCs w:val="26"/>
                <w:lang w:eastAsia="sr-Latn-RS"/>
              </w:rPr>
              <w:lastRenderedPageBreak/>
              <w:t>телекомуникација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у сарадњи са кластерима и другим пословним удружењима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електронски објављених брошура о приоритетним тржиштима (најмање три брошуре годишње)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r w:rsidRPr="00AF22EC">
              <w:rPr>
                <w:rFonts w:ascii="Arial" w:eastAsia="Times New Roman" w:hAnsi="Arial" w:cs="Arial"/>
                <w:sz w:val="26"/>
                <w:szCs w:val="26"/>
                <w:lang w:eastAsia="sr-Latn-RS"/>
              </w:rPr>
              <w:br/>
              <w:t>Буџет ПКС</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Анализа услуга и перформанси које дипломатско-конзуларна представништва (у даљем тексту: ДКП) пружају и које би могли да пружају домаћим предузећима, по угледу на економске саветнике других земаља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спољних послова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Студија са препорукама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Буџет ПКС</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Утврђивање и развој услуга за извознике које ће ДКП и представништва ПКС пружати МСП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спољних послова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Припремљен нови модел пружања услуга извозницима са циљем информисања и давања смерница МСПП о тржишним условима и проналажењу пословних партнера на најважнијим извозним </w:t>
            </w:r>
            <w:r w:rsidRPr="00AF22EC">
              <w:rPr>
                <w:rFonts w:ascii="Arial" w:eastAsia="Times New Roman" w:hAnsi="Arial" w:cs="Arial"/>
                <w:sz w:val="26"/>
                <w:szCs w:val="26"/>
                <w:lang w:eastAsia="sr-Latn-RS"/>
              </w:rPr>
              <w:lastRenderedPageBreak/>
              <w:t>тржиштима, као и о институцијама на тим тржиштима које такође могу да пруже подршку извозницима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Израда приручника за рад и показатеља учинка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пружених услуга и обука ДКП (пет месечно по саветнику)</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Буџет ПКС</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Стварање базе података са контактима економских саветника при ДКП на приоритетним тржиштима и постављање њихових контаката на сајту СИЕПА, ПКС и Предузетнички сервис</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спољних послова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База контаката доступна на порталима СИЕПА, ПКС и Предузетнички сервис</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072"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Унапређење знања извозника и пружање стручне подршке</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6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70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98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А1</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саветодавних услуга према приоритетним секторима и потребама привредних субјеката (спремност привредног субјекта за извоз, анализа тржишта, израда извозне стратегије и друго)</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и друга пословна удружења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нових саветодавних услуга (пет нових услуга)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обучених пружалаца саветодавних услуга (25 обучених пружалаца услуга)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Приручници за пружање услуга (пет приручника)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Буџет ПКС</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Припрема пакета подршке МСП за повећање извоза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у сарадњи са Удружењем извозника, кластерима и другим пословним удружењима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подржаних предузећа (70 услуга)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Раст обима извоза код конкретних привредних субјеката (до 15% у години након коришћења услуге)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Буџет ПКС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Припрема пакета подршке за МСП за отпочињање извоза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2016 </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пружених услуга (100)</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нових извозника (40)</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Радионице и семинари о значају и начину заштите интелектуалне својине и услуга Дијагностике </w:t>
            </w:r>
            <w:r w:rsidRPr="00AF22EC">
              <w:rPr>
                <w:rFonts w:ascii="Arial" w:eastAsia="Times New Roman" w:hAnsi="Arial" w:cs="Arial"/>
                <w:sz w:val="26"/>
                <w:szCs w:val="26"/>
                <w:lang w:eastAsia="sr-Latn-RS"/>
              </w:rPr>
              <w:lastRenderedPageBreak/>
              <w:t>интелектуалне својине за МСП</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Завод за интелектуалну својине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радионица и семинара (10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Број учесника (150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услуга дијагностике (20 годишње)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Израда брошура о начину заштите интелектуалне својине, поступку, документима за заштиту на националном и међународном нивоу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интелектуалну својине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брошура годишње израђених или ажурираних (пет брошура)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072"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Успостављање контаката с потенцијалним пословним партнерима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6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70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98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Припрема базе података о сајмовима и постављање на интернет сајт СИЕПА, ПКС и Предузетнички сервис</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у сарадњи са Удружењем извозника, ПКС, кластерима и другим пословним удружењима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Успостављена база међународних сајмова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Већи број сајмова на којима МСПП из Републике Србије учествују</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Буџет ПКС</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и промоција базе података о извозницима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Министарство привреде у сарадњи са ПКС, кластерима и другим </w:t>
            </w:r>
            <w:r w:rsidRPr="00AF22EC">
              <w:rPr>
                <w:rFonts w:ascii="Arial" w:eastAsia="Times New Roman" w:hAnsi="Arial" w:cs="Arial"/>
                <w:sz w:val="26"/>
                <w:szCs w:val="26"/>
                <w:lang w:eastAsia="sr-Latn-RS"/>
              </w:rPr>
              <w:lastRenderedPageBreak/>
              <w:t>пословним удружењима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2015 </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Већи број извозника у бази (1000 извозника у бази)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Већи обим информација о сваком </w:t>
            </w:r>
            <w:r w:rsidRPr="00AF22EC">
              <w:rPr>
                <w:rFonts w:ascii="Arial" w:eastAsia="Times New Roman" w:hAnsi="Arial" w:cs="Arial"/>
                <w:sz w:val="26"/>
                <w:szCs w:val="26"/>
                <w:lang w:eastAsia="sr-Latn-RS"/>
              </w:rPr>
              <w:lastRenderedPageBreak/>
              <w:t>појединачном извознику</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Ажуриране информације о извозницима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Повећан број приступа бази (500 приступа месечно)</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Већа видљивост у Европској мрежи предузетништва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Програм суфинансирања учешћа, (групно и појединачно) на приоритетним сајмовима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 у сарадњи са ПКС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сајмова (30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подржаних МСПП (400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контаката са иностраним партнерима (500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Обим остварене сарадње (10 милиона евра)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Организација промоције српске привреде (мини сајмови српске привреде и организација пословних мисија) на различитим тржиштима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 и ПКС у сарадњи са Удружењем извозника, кластерима и другим пословним удружењима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Европска мрежа </w:t>
            </w:r>
            <w:r w:rsidRPr="00AF22EC">
              <w:rPr>
                <w:rFonts w:ascii="Arial" w:eastAsia="Times New Roman" w:hAnsi="Arial" w:cs="Arial"/>
                <w:sz w:val="26"/>
                <w:szCs w:val="26"/>
                <w:lang w:eastAsia="sr-Latn-RS"/>
              </w:rPr>
              <w:lastRenderedPageBreak/>
              <w:t>предузетништва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спољних послова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мини сајмова и мисија (10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Број МСПП који су учествовали на овим догађајима </w:t>
            </w:r>
            <w:r w:rsidRPr="00AF22EC">
              <w:rPr>
                <w:rFonts w:ascii="Arial" w:eastAsia="Times New Roman" w:hAnsi="Arial" w:cs="Arial"/>
                <w:sz w:val="26"/>
                <w:szCs w:val="26"/>
                <w:lang w:eastAsia="sr-Latn-RS"/>
              </w:rPr>
              <w:lastRenderedPageBreak/>
              <w:t>(200 МСПП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контаката са иностраним партнерима (500)</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Обим остварене сарадње у наредној години (5 милиона евра)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ПКС - пројекат Европска мрежа </w:t>
            </w:r>
            <w:r w:rsidRPr="00AF22EC">
              <w:rPr>
                <w:rFonts w:ascii="Arial" w:eastAsia="Times New Roman" w:hAnsi="Arial" w:cs="Arial"/>
                <w:sz w:val="26"/>
                <w:szCs w:val="26"/>
                <w:lang w:eastAsia="sr-Latn-RS"/>
              </w:rPr>
              <w:lastRenderedPageBreak/>
              <w:t>предузетништва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А5</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Организација пословних сусрета привредника у земљи са страним партнерима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Европска мрежа предузетништва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у сарадњи са Удружењем извозника, кластерима и другим пословним удружењима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"бусинесс то бусинесс" догађаја (20 догађаја)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МСПП који су учествовали на овим догађајима (600 МСПП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контаката са иностраним партнерима (500)</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Обим остварене сарадње (10 милиона евра)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 - пројекат Европска мрежа предузетништва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А6</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Промотивна кампања за представљање услуга Европске мреже предузетништва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Европска мрежа предузетништва </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одржаних промотивних догађаја (20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присутних на догађајима (2.000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Број медијских објава о Европској мрежи предузетништва (пет-десет објава по догађају)</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А7</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Повећање ефикасности услуга Европске мреже предузетништва за извознике, а на основу контаката са чланицама Европске мреже предузетништва у другим државама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Европска мрежа предузетништва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остварених пословних контаката извозника (минимум десет годишње)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0198"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5.2 Димензија</w:t>
            </w:r>
            <w:r w:rsidRPr="00AF22EC">
              <w:rPr>
                <w:rFonts w:ascii="Arial" w:eastAsia="Times New Roman" w:hAnsi="Arial" w:cs="Arial"/>
                <w:sz w:val="26"/>
                <w:szCs w:val="26"/>
                <w:lang w:eastAsia="sr-Latn-RS"/>
              </w:rPr>
              <w:br/>
              <w:t>Специфични циљ</w:t>
            </w:r>
          </w:p>
        </w:tc>
        <w:tc>
          <w:tcPr>
            <w:tcW w:w="4536"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w:t>
            </w:r>
          </w:p>
        </w:tc>
        <w:tc>
          <w:tcPr>
            <w:tcW w:w="4536"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Смањење и превазилажење техничких препрека трговини</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536"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536"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072"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Усклађивање са техничким прописима и стандардима ЕУ</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6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70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98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Увођење и примена техничких прописа - директива Новог и директива Старог приступа, као и другог законодавства ЕУ у законодавство Републике Србије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здравља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Министарство грађевинарства, саобраћаја и </w:t>
            </w:r>
            <w:r w:rsidRPr="00AF22EC">
              <w:rPr>
                <w:rFonts w:ascii="Arial" w:eastAsia="Times New Roman" w:hAnsi="Arial" w:cs="Arial"/>
                <w:sz w:val="26"/>
                <w:szCs w:val="26"/>
                <w:lang w:eastAsia="sr-Latn-RS"/>
              </w:rPr>
              <w:lastRenderedPageBreak/>
              <w:t>инфраструктуре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 </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уведених техничких прописа у законодавство Републике Србије (20)</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производа усаглашених са новим прописима (100)</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Преиспитивање усклађености српских стандарда са европским и међународним стандардима и иновирање спискова стандарда којима су преузети усаглашени европски спискови техничких стандарда о безбедности производа, а који се утврђују ради пуне примене техничких прописа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Институт за стандардизацију Србије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здравља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Министарство пољопривреде и заштите </w:t>
            </w:r>
            <w:r w:rsidRPr="00AF22EC">
              <w:rPr>
                <w:rFonts w:ascii="Arial" w:eastAsia="Times New Roman" w:hAnsi="Arial" w:cs="Arial"/>
                <w:sz w:val="26"/>
                <w:szCs w:val="26"/>
                <w:lang w:eastAsia="sr-Latn-RS"/>
              </w:rPr>
              <w:lastRenderedPageBreak/>
              <w:t>животне средине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иновираних стандарда (2000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Спискови стандарда иновирани (пет годишње)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Израда акционог плана у области усаглашавања српских техничких прописа у неусаглашеним областима, њиховог унапређења (усклађивање са стањем развоја и технике, као и са чл. 34 и 36 Уговора о функционисању ЕУ) и њиховог стављање ван снаге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здравља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грађевинарства, саобраћаја и инфраструктуре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трговине, туризма и телекомуникација </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Урађен акциони план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9072"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Унапређење система инфрастуруктуре квалитета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6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70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98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Утврђивање стратегије унапређења система инфраструктуре квалитета у Републици Србији за период од 2015. до 2020. године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План развоја инфраструктуре квалитета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Одржавање статуса потписника мултилатералних споразума са европским и </w:t>
            </w:r>
            <w:r w:rsidRPr="00AF22EC">
              <w:rPr>
                <w:rFonts w:ascii="Arial" w:eastAsia="Times New Roman" w:hAnsi="Arial" w:cs="Arial"/>
                <w:sz w:val="26"/>
                <w:szCs w:val="26"/>
                <w:lang w:eastAsia="sr-Latn-RS"/>
              </w:rPr>
              <w:lastRenderedPageBreak/>
              <w:t>међународним организацијама за акредитацију (ЕА, ИЛАЦ, ИАФ)</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Акредитационо тело Србије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Међународни споразуми</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Пројекат "Развој приватног сектора" ИПА </w:t>
            </w:r>
            <w:r w:rsidRPr="00AF22EC">
              <w:rPr>
                <w:rFonts w:ascii="Arial" w:eastAsia="Times New Roman" w:hAnsi="Arial" w:cs="Arial"/>
                <w:sz w:val="26"/>
                <w:szCs w:val="26"/>
                <w:lang w:eastAsia="sr-Latn-RS"/>
              </w:rPr>
              <w:lastRenderedPageBreak/>
              <w:t>2013 - twinning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Развој нових секторских шема акредитације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Акредитационо тело Србије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нових секторских шема акредитације зависи од тренутних потреба МСПП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капацитета тела за оцењивање усаглашености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Дирекција за мере и драгоцене метале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обука (15 - 20 обука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учесника на обукама (15 - 20 учесника по обуци)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Набављена нова опрема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тела за оцену усаглашености који се оспособио и акредитовао за нова оцењивања усаглашености (два годишње)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Пројекат "Развој приватног сектора" ИПА 2013 - twinning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r w:rsidRPr="00AF22EC">
              <w:rPr>
                <w:rFonts w:ascii="Arial" w:eastAsia="Times New Roman" w:hAnsi="Arial" w:cs="Arial"/>
                <w:sz w:val="26"/>
                <w:szCs w:val="26"/>
                <w:lang w:eastAsia="sr-Latn-RS"/>
              </w:rPr>
              <w:br/>
              <w:t>Пројекат "Развој приватног сектора" ИПА 2013 - уговор о набавци опреме</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А5</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знања о потреби оцењивања усаглашености</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Акредитационо тело Србије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обука (пет обука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учесника на обукама (15 - 20 учесника по обуци)</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А6</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Повећање броја акредитованих тела </w:t>
            </w:r>
            <w:r w:rsidRPr="00AF22EC">
              <w:rPr>
                <w:rFonts w:ascii="Arial" w:eastAsia="Times New Roman" w:hAnsi="Arial" w:cs="Arial"/>
                <w:sz w:val="26"/>
                <w:szCs w:val="26"/>
                <w:lang w:eastAsia="sr-Latn-RS"/>
              </w:rPr>
              <w:lastRenderedPageBreak/>
              <w:t>за оцењивање усаглашености</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Акредитационо тело Србије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Број акредитованих тела за оцену </w:t>
            </w:r>
            <w:r w:rsidRPr="00AF22EC">
              <w:rPr>
                <w:rFonts w:ascii="Arial" w:eastAsia="Times New Roman" w:hAnsi="Arial" w:cs="Arial"/>
                <w:sz w:val="26"/>
                <w:szCs w:val="26"/>
                <w:lang w:eastAsia="sr-Latn-RS"/>
              </w:rPr>
              <w:lastRenderedPageBreak/>
              <w:t>усаглашености прилагођен потребама привреде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 xml:space="preserve">Пројекат "Развој приватног </w:t>
            </w:r>
            <w:r w:rsidRPr="00AF22EC">
              <w:rPr>
                <w:rFonts w:ascii="Arial" w:eastAsia="Times New Roman" w:hAnsi="Arial" w:cs="Arial"/>
                <w:sz w:val="26"/>
                <w:szCs w:val="26"/>
                <w:lang w:eastAsia="sr-Latn-RS"/>
              </w:rPr>
              <w:lastRenderedPageBreak/>
              <w:t>сектора" ИПА 2013 - twinning</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А7</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Јачање капацитета лабораторија Дирекције за мере и драгоцене метале и припрема за пуну примену европског законодавства у области метрологије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Дирекција за мере и драгоцене метале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обука (до 20 обука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учесника на обукама (до 30 по обуци)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Набављена нова опрема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А8</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доступности информација о инфраструктури квалитета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Дирекција за мере и драгоцене метале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Акредитационо тело Србије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Институт за стандардизацију Србије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Акредитована тела за оцењивање усаглашености</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Стално</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Публикован већи обим информација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Редовно ажурирање и унапређење Портала "ТЕХНИС" Министарства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Већи број приступа Порталу</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нових брошура и каталога (пет брошура)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А9</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Унапређено уређење правила за рад лабораторија са циљем веће безбедности јавног здравља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здравља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Акредитована тела за оцењивање усаглашености</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Уведена забрана рада лабораторија у области здравствених услуга у стамбеним зградама које немају засебне улазе и унапредити све </w:t>
            </w:r>
            <w:r w:rsidRPr="00AF22EC">
              <w:rPr>
                <w:rFonts w:ascii="Arial" w:eastAsia="Times New Roman" w:hAnsi="Arial" w:cs="Arial"/>
                <w:sz w:val="26"/>
                <w:szCs w:val="26"/>
                <w:lang w:eastAsia="sr-Latn-RS"/>
              </w:rPr>
              <w:lastRenderedPageBreak/>
              <w:t>друге стандарде рада лабораторија у контексту ширег јавног здравља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Пројекат "Развој приватног сектора" ИПА 2013 - twinning</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9072"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Подизање свести МСПП о значају усаглашавања производа са захтевима техничких прописа и стандарда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6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70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98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Припрема и спровођење обуке МСПП о секторски специфичним техничким прописима и стандардима Републике Србије и сродним документима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Институт за стандардизацију Србије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Израђени приручници за обуке (50 приручника)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обука за предаваче (две обуке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обучених предавача (30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обука за МСПП (30 обука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учесника (600 годишње)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Спровођење промотивне активности о значају и улози стандардизације у штампаним и електронским медијима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Институт за стандардизацију Србије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Друга министарства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објављених вести и информација у штампаним и електронским медијима (30 годишње)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Пројекат "Развој приватног сектора" ИПА 2013 - twinning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9072"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 Обезбеђење подршке за постизање усаглашености са захтевима техничких прописа и стандарда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69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709"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1985"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842"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Припрема и спровођење програма подршке МСПП за усаглашавање производа са захтевима техничких прописа и стандардима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Институт за стандардизацију Србије </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програм и конкурсна документација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пријављених МСПП (100 предузећа по програму)</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предузећа која су усагласила своје производе и/или процес производње са захтевима техничких прописа и стандардима (500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структуре извоза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Повећан обим извоза (5%)</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Дефинисање критеријума за превођење стандарда и утврђивање приоритетних стандарда за </w:t>
            </w:r>
            <w:r w:rsidRPr="00AF22EC">
              <w:rPr>
                <w:rFonts w:ascii="Arial" w:eastAsia="Times New Roman" w:hAnsi="Arial" w:cs="Arial"/>
                <w:sz w:val="26"/>
                <w:szCs w:val="26"/>
                <w:lang w:eastAsia="sr-Latn-RS"/>
              </w:rPr>
              <w:lastRenderedPageBreak/>
              <w:t>превођење на српски језик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Институт за стандардизацију Србије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Пословна удружења</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Утврђен списак стандарда које је за потребе МСПП неопходно у току године превести са енглеског </w:t>
            </w:r>
            <w:r w:rsidRPr="00AF22EC">
              <w:rPr>
                <w:rFonts w:ascii="Arial" w:eastAsia="Times New Roman" w:hAnsi="Arial" w:cs="Arial"/>
                <w:sz w:val="26"/>
                <w:szCs w:val="26"/>
                <w:lang w:eastAsia="sr-Latn-RS"/>
              </w:rPr>
              <w:lastRenderedPageBreak/>
              <w:t>језика на српски језик и утврђени приоритети</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механизма одрживог финансирања трошкова превођења стандарда уз укључивање заинтересованих страна у процесу превођења стандарда </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МСПП (представници МСП)</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2015 </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Успостављен механизам одрживог финансирања трошкова превођења стандарда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заинтересованих страна, представника МСПП који се укључују у превођење стандарда повећан за 20%</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А4</w:t>
            </w:r>
          </w:p>
        </w:tc>
        <w:tc>
          <w:tcPr>
            <w:tcW w:w="269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Превођење приоритетних преузетих европских стандарда са енглеског на српски језик како би се корисницима стандарда у Републици Србији олакшала њихова примена</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Институт за стандардизацију Србије</w:t>
            </w:r>
          </w:p>
        </w:tc>
        <w:tc>
          <w:tcPr>
            <w:tcW w:w="709"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1985"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 преведених стандарда (300 годишње)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Повећана продаја преведених стандарда (за 10% годишње)</w:t>
            </w:r>
          </w:p>
        </w:tc>
        <w:tc>
          <w:tcPr>
            <w:tcW w:w="1842"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bl>
    <w:p w:rsidR="00AF22EC" w:rsidRPr="00AF22EC" w:rsidRDefault="00AF22EC" w:rsidP="00AF22EC">
      <w:pPr>
        <w:spacing w:after="0" w:line="240" w:lineRule="auto"/>
        <w:rPr>
          <w:rFonts w:ascii="Arial" w:eastAsia="Times New Roman" w:hAnsi="Arial" w:cs="Arial"/>
          <w:color w:val="000000"/>
          <w:sz w:val="32"/>
          <w:szCs w:val="32"/>
          <w:lang w:eastAsia="sr-Latn-RS"/>
        </w:rPr>
      </w:pPr>
      <w:r w:rsidRPr="00AF22EC">
        <w:rPr>
          <w:rFonts w:ascii="Arial" w:eastAsia="Times New Roman" w:hAnsi="Arial" w:cs="Arial"/>
          <w:color w:val="000000"/>
          <w:sz w:val="32"/>
          <w:szCs w:val="32"/>
          <w:lang w:eastAsia="sr-Latn-RS"/>
        </w:rPr>
        <w:t> </w:t>
      </w:r>
    </w:p>
    <w:tbl>
      <w:tblPr>
        <w:tblW w:w="9773" w:type="dxa"/>
        <w:tblCellSpacing w:w="0" w:type="dxa"/>
        <w:tblBorders>
          <w:top w:val="inset" w:sz="6" w:space="0" w:color="000000"/>
          <w:left w:val="inset" w:sz="6" w:space="0" w:color="000000"/>
          <w:bottom w:val="inset" w:sz="6" w:space="0" w:color="000000"/>
          <w:right w:val="in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126"/>
        <w:gridCol w:w="2268"/>
        <w:gridCol w:w="2127"/>
        <w:gridCol w:w="850"/>
        <w:gridCol w:w="2268"/>
        <w:gridCol w:w="1134"/>
      </w:tblGrid>
      <w:tr w:rsidR="00AF22EC" w:rsidRPr="00AF22EC" w:rsidTr="00740C20">
        <w:trPr>
          <w:tblCellSpacing w:w="0" w:type="dxa"/>
        </w:trPr>
        <w:tc>
          <w:tcPr>
            <w:tcW w:w="9773"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240" w:after="240" w:line="240" w:lineRule="auto"/>
              <w:jc w:val="center"/>
              <w:rPr>
                <w:rFonts w:ascii="Arial" w:eastAsia="Times New Roman" w:hAnsi="Arial" w:cs="Arial"/>
                <w:b/>
                <w:bCs/>
                <w:sz w:val="29"/>
                <w:szCs w:val="29"/>
                <w:lang w:eastAsia="sr-Latn-RS"/>
              </w:rPr>
            </w:pPr>
            <w:bookmarkStart w:id="26" w:name="str_26"/>
            <w:bookmarkEnd w:id="26"/>
            <w:r w:rsidRPr="00AF22EC">
              <w:rPr>
                <w:rFonts w:ascii="Arial" w:eastAsia="Times New Roman" w:hAnsi="Arial" w:cs="Arial"/>
                <w:b/>
                <w:bCs/>
                <w:sz w:val="29"/>
                <w:szCs w:val="29"/>
                <w:lang w:eastAsia="sr-Latn-RS"/>
              </w:rPr>
              <w:t>Стуб 6</w:t>
            </w:r>
          </w:p>
          <w:p w:rsidR="00AF22EC" w:rsidRPr="00AF22EC" w:rsidRDefault="00AF22EC" w:rsidP="00740C20">
            <w:pPr>
              <w:spacing w:before="240" w:after="240" w:line="240" w:lineRule="auto"/>
              <w:ind w:right="521"/>
              <w:jc w:val="center"/>
              <w:rPr>
                <w:rFonts w:ascii="Arial" w:eastAsia="Times New Roman" w:hAnsi="Arial" w:cs="Arial"/>
                <w:b/>
                <w:bCs/>
                <w:sz w:val="29"/>
                <w:szCs w:val="29"/>
                <w:lang w:eastAsia="sr-Latn-RS"/>
              </w:rPr>
            </w:pPr>
            <w:r w:rsidRPr="00AF22EC">
              <w:rPr>
                <w:rFonts w:ascii="Arial" w:eastAsia="Times New Roman" w:hAnsi="Arial" w:cs="Arial"/>
                <w:b/>
                <w:bCs/>
                <w:sz w:val="29"/>
                <w:szCs w:val="29"/>
                <w:lang w:eastAsia="sr-Latn-RS"/>
              </w:rPr>
              <w:t>РАЗВОЈ И ПРОМОЦИЈА ПРЕДУЗЕТНИЧКОГ ДУХА И ПОДСТИЦАЊЕ ПРЕДУЗЕТНИШТВА ЖЕНА, МЛАДИХ И СОЦИЈАЛНОГ ПРЕДУЗЕТНИШТВА</w:t>
            </w:r>
          </w:p>
        </w:tc>
      </w:tr>
      <w:tr w:rsidR="00AF22EC" w:rsidRPr="00AF22EC" w:rsidTr="00740C20">
        <w:trPr>
          <w:tblCellSpacing w:w="0" w:type="dxa"/>
        </w:trPr>
        <w:tc>
          <w:tcPr>
            <w:tcW w:w="9773"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gridAfter w:val="1"/>
          <w:wAfter w:w="1134" w:type="dxa"/>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6.1 Димензија</w:t>
            </w:r>
            <w:r w:rsidRPr="00AF22EC">
              <w:rPr>
                <w:rFonts w:ascii="Arial" w:eastAsia="Times New Roman" w:hAnsi="Arial" w:cs="Arial"/>
                <w:sz w:val="26"/>
                <w:szCs w:val="26"/>
                <w:lang w:eastAsia="sr-Latn-RS"/>
              </w:rPr>
              <w:br/>
              <w:t>Специфични циљ</w:t>
            </w:r>
          </w:p>
        </w:tc>
        <w:tc>
          <w:tcPr>
            <w:tcW w:w="439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w:t>
            </w:r>
          </w:p>
        </w:tc>
        <w:tc>
          <w:tcPr>
            <w:tcW w:w="3118"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статистичког праћења и истраживања предузетништва жена, младих и социјалног предузетништва</w:t>
            </w:r>
          </w:p>
        </w:tc>
      </w:tr>
      <w:tr w:rsidR="00AF22EC" w:rsidRPr="00AF22EC" w:rsidTr="00740C20">
        <w:trPr>
          <w:gridAfter w:val="1"/>
          <w:wAfter w:w="1134" w:type="dxa"/>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39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3118"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gridAfter w:val="1"/>
          <w:wAfter w:w="1134" w:type="dxa"/>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7513" w:type="dxa"/>
            <w:gridSpan w:val="4"/>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Развој механизма за статистичко прикупљање, обраду и праћење података предузетништва жена, младих и социјалног предузетништва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8647"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Успостављање поузданих статистичких података у складу са индикаторима ЕУРОСТАТ</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РЗС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Утврђени показатељи за праћење стања у МСП и предузетништву</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Унапређење обједињених база података за праћење предузетништва и привредних друштава</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РЗС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Национална служба за запошљавање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АПР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Пореска управа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Управа царина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 основу успостављене везе између матичног броја привредног друштва и година и пола оснивача и директора привредног друштва омогућена претрага по полу и годинама и у другим базама података за праћење предузетништва и привредних друштава</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Спровођење истраживања "Глобал Ентрепренеурсхип Монитор"</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Лиценцирани реализатор</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Израђен "Глобал Ентрепренеурсхип Монитор" извештај</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647"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Успостављање система редовног и упоредивог праћења предузетништва жена, младих и социјалног предузетништва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Дефинисати показатеље за праћење </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АПР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РЗС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омладине и спорта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Израђена анализа расположивих статистичких података на основу које је израђен предлог показатеља за праћење женског предузетништва, предузетништва младих и социјалног предузетништва и одређен начин прикупљања података</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Сопствени приходи АПР (приходи од накнада)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Доступне статистичке податке за праћење предузетништва учинити родно осетљивим</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РЗС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АПР</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Доступни родно осетљиви статистички подаци</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Омогућен увид у родне разлике у предузетништву</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Успоставити везу између информација о полу и годинама оснивача и </w:t>
            </w:r>
            <w:r w:rsidRPr="00AF22EC">
              <w:rPr>
                <w:rFonts w:ascii="Arial" w:eastAsia="Times New Roman" w:hAnsi="Arial" w:cs="Arial"/>
                <w:sz w:val="26"/>
                <w:szCs w:val="26"/>
                <w:lang w:eastAsia="sr-Latn-RS"/>
              </w:rPr>
              <w:lastRenderedPageBreak/>
              <w:t>директора привредног друштва и матичног броја привредног друштва у регистру привредних субјеката </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АПР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РЗС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У регистру привредних субјеката АПР могуће извршити претрагу </w:t>
            </w:r>
            <w:r w:rsidRPr="00AF22EC">
              <w:rPr>
                <w:rFonts w:ascii="Arial" w:eastAsia="Times New Roman" w:hAnsi="Arial" w:cs="Arial"/>
                <w:sz w:val="26"/>
                <w:szCs w:val="26"/>
                <w:lang w:eastAsia="sr-Latn-RS"/>
              </w:rPr>
              <w:lastRenderedPageBreak/>
              <w:t>привредних субјеката по полу и годинама оснивача и директора привредних субјеката (уз заштиту података о личности)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Сопствени приходи АПР (приход</w:t>
            </w:r>
            <w:r w:rsidRPr="00AF22EC">
              <w:rPr>
                <w:rFonts w:ascii="Arial" w:eastAsia="Times New Roman" w:hAnsi="Arial" w:cs="Arial"/>
                <w:sz w:val="26"/>
                <w:szCs w:val="26"/>
                <w:lang w:eastAsia="sr-Latn-RS"/>
              </w:rPr>
              <w:lastRenderedPageBreak/>
              <w:t>и од накнада)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Податке у вези обука и менторства предузетница обухватити званичним извештајима</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Подаци у вези обука и менторства предузетница обухваћени су извештајима НАРР</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оквиру годишњег извештаја о МСПП увести редовно извештавање о женском предузетништву, социјалном предузетништву и предузетништву младих</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омладине и спорта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Годишњи извештај о МСПП који објављује НАРР и Министарство привреде садржи информације о женском предузетништву, социјалном предузетништву и предузетништву младих</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9773" w:type="dxa"/>
            <w:gridSpan w:val="6"/>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6.2 Димензија</w:t>
            </w:r>
            <w:r w:rsidRPr="00AF22EC">
              <w:rPr>
                <w:rFonts w:ascii="Arial" w:eastAsia="Times New Roman" w:hAnsi="Arial" w:cs="Arial"/>
                <w:sz w:val="26"/>
                <w:szCs w:val="26"/>
                <w:lang w:eastAsia="sr-Latn-RS"/>
              </w:rPr>
              <w:br/>
              <w:t>Специфични циљ</w:t>
            </w:r>
          </w:p>
        </w:tc>
        <w:tc>
          <w:tcPr>
            <w:tcW w:w="4395" w:type="dxa"/>
            <w:gridSpan w:val="2"/>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Назив</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Политика и инструменти за подршку женском предузетништву, предузетништву младих и социјалном предузетништву</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395" w:type="dxa"/>
            <w:gridSpan w:val="2"/>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c>
          <w:tcPr>
            <w:tcW w:w="4252" w:type="dxa"/>
            <w:gridSpan w:val="3"/>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647"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M1 - Укључити подршку женском предузетништву, предузетништву младих и социјалном предузетништву у сва државна документа која имају утицаја на привреду</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Извор и процена износа </w:t>
            </w:r>
            <w:r w:rsidRPr="00AF22EC">
              <w:rPr>
                <w:rFonts w:ascii="Arial" w:eastAsia="Times New Roman" w:hAnsi="Arial" w:cs="Arial"/>
                <w:sz w:val="26"/>
                <w:szCs w:val="26"/>
                <w:lang w:eastAsia="sr-Latn-RS"/>
              </w:rPr>
              <w:lastRenderedPageBreak/>
              <w:t>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Систематски укључити родну перспективу, перспективу омладинских и социјалних предузећа у кључне стратегије и друге документе у области политике развоја предузетништва</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РСЈП</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за рад, запошљавање, борачка и социјална питања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Родна перспектива, перспектива социјалних и омладинских предузећа систематски интегрисана у кључне стратегије и друге документе у области политике развоја предузетништва</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 уз подршку Swiss Agency фор Девелопмент анд Цооператион - Пројект "Подршка унапређењу социјалног укључивања у Републици Србији", који спроводи Тим за социјално укључивање при РСЈП </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Државне програме подршке МСПП учинити родно осетљивим </w:t>
            </w:r>
            <w:r w:rsidRPr="00AF22EC">
              <w:rPr>
                <w:rFonts w:ascii="Arial" w:eastAsia="Times New Roman" w:hAnsi="Arial" w:cs="Arial"/>
                <w:sz w:val="26"/>
                <w:szCs w:val="26"/>
                <w:lang w:eastAsia="sr-Latn-RS"/>
              </w:rPr>
              <w:lastRenderedPageBreak/>
              <w:t>(посебно у областима финансирања, обуке и пословног повезивања) и омогућити праћење учешћа жена предузетница, младих и социјалних предузећа</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Све институције које спроводе државне програме подршке МСПП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Приликом припреме програма државне подршке узети у обзир </w:t>
            </w:r>
            <w:r w:rsidRPr="00AF22EC">
              <w:rPr>
                <w:rFonts w:ascii="Arial" w:eastAsia="Times New Roman" w:hAnsi="Arial" w:cs="Arial"/>
                <w:sz w:val="26"/>
                <w:szCs w:val="26"/>
                <w:lang w:eastAsia="sr-Latn-RS"/>
              </w:rPr>
              <w:lastRenderedPageBreak/>
              <w:t>специфичне интересе жена предузетница, младих и социјалних предузећа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Уведени механизми за праћење учешћа жена, социјалних предузећа и младих у свим програмима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Информације о учешћу ових циљних група у државним програмима подршке МСПП су јавно доступне</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А3</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 и усвојен правни оквир за уређење социјалног предузетништва</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за рад, запошљавање, борачка и социјална 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Усвојен закон којим је уређен правни оквир за социјално предузетништво или усвојене измене постојећих прописа за уређење правног оквира за социјално предузетништво</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647"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M2 - Повећати учешће жена, младих и социјалних предузећа у различитим програмима подршке МСПП</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Мерама позитивне дискриминације и државним програмима за подршку оснивању нових предузећа повећати удео жена и младих са циљем повећања њиховог удела у укупном предузетништву</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Национална служба за запошљавање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за рад, запошљавање, борачка и социјална питања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Учешће жена и младих у државним програмима за подршку оснивању нових предузећа повећано за 10% у односу на 2014. годину</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оквиру постојећих и будућих државних програма подршке развоју постојећих МСПП постепено уводити примену обавезних квота за циљну групу жена предузетница, омладинског предузетништва и социјалних предузећа </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Национална служба за запошљавање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за рад, запошљавање, борачка и социјална питања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оквиру постојећих државних програма за подршку развоју МСПП примењује се обавезна квота од минимум 30% за жене предузетнице (позитивна дискриминација), тамо где постоји довољан интерес жена предузетница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оквиру постојећих државних програма обука и менторства за МСПП примењује се квота од минимум 10% за социјална предузећа и младе</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Мера</w:t>
            </w:r>
          </w:p>
        </w:tc>
        <w:tc>
          <w:tcPr>
            <w:tcW w:w="8647"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M3 - Увести посебне програме подршке за МСПП намењене искључиво за жене, младе и социјално предузетништво</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Једном годишње спровести свеобухватну анализу потреба обучавања предузетница, младих и социјалних предузећа </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Удружења пословних жена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омладине и спорта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 оквиру опште анализе потреба за обуком у посебном модулу спроведена свеобухватна анализа потреба обучавања предузетница, младих и социјалних предузећа</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Обезбедити специјализоване облике подршке и менторства предузетницама које су извозно усмерене, за предузетнице које обављају технолошки интензивне делатности и сл.</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СИЕПА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Удружења пословних жена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Обезбеђен специјализовани облик подршке и менторства женама са технолошко интензивним делатностима и предузетницама које излазе на међународно тржиште</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А3</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Развити програме обуке за управљање породичним предузећима, са посебним нагласком на проблеме преноса пословања између генерација </w:t>
            </w:r>
            <w:r w:rsidRPr="00AF22EC">
              <w:rPr>
                <w:rFonts w:ascii="Arial" w:eastAsia="Times New Roman" w:hAnsi="Arial" w:cs="Arial"/>
                <w:sz w:val="26"/>
                <w:szCs w:val="26"/>
                <w:lang w:eastAsia="sr-Latn-RS"/>
              </w:rPr>
              <w:lastRenderedPageBreak/>
              <w:t>(управљања и власништва)</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Удружења пословних жена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Развијен један програм обуке за управљање породичним предузећима са посебним нагласком на проблеме преноса пословања између генерација </w:t>
            </w:r>
            <w:r w:rsidRPr="00AF22EC">
              <w:rPr>
                <w:rFonts w:ascii="Arial" w:eastAsia="Times New Roman" w:hAnsi="Arial" w:cs="Arial"/>
                <w:sz w:val="26"/>
                <w:szCs w:val="26"/>
                <w:lang w:eastAsia="sr-Latn-RS"/>
              </w:rPr>
              <w:lastRenderedPageBreak/>
              <w:t>(управљања и власништва)</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Н/А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А4</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Унапредити финансирање женског предузетништва, предузетништва младих и социјалних предузећа</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Фонд за развој Републике Србије </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АОФИ</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Најмање један програм јавних финансијских институција посебно усмерен на потребе жена предузетница, младих предузетника и социјалних предузећа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Припремити препоруке за подршку женама предузетницама, социјалним предузећима и омладинским предузећима за укључивање у инкубаторе </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Завод за унапређивање образовања и васпитања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просвете, науке и технолошког развоја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омладине и спорта</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2016</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Припремљене препоруке</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Мера</w:t>
            </w:r>
          </w:p>
        </w:tc>
        <w:tc>
          <w:tcPr>
            <w:tcW w:w="8647" w:type="dxa"/>
            <w:gridSpan w:val="5"/>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M4 - Промоција предузетничког духа, примери добре праксе, умрежавање, успостављање дијалога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Број</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Активности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Носилац активности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Рок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Показатељ</w:t>
            </w:r>
          </w:p>
        </w:tc>
        <w:tc>
          <w:tcPr>
            <w:tcW w:w="1134" w:type="dxa"/>
            <w:tcBorders>
              <w:top w:val="outset" w:sz="6" w:space="0" w:color="auto"/>
              <w:left w:val="outset" w:sz="6" w:space="0" w:color="auto"/>
              <w:bottom w:val="outset" w:sz="6" w:space="0" w:color="auto"/>
              <w:right w:val="outset" w:sz="6" w:space="0" w:color="auto"/>
            </w:tcBorders>
            <w:vAlign w:val="center"/>
            <w:hideMark/>
          </w:tcPr>
          <w:p w:rsidR="00AF22EC" w:rsidRPr="00AF22EC" w:rsidRDefault="00AF22EC" w:rsidP="00AF22EC">
            <w:pPr>
              <w:spacing w:before="100" w:beforeAutospacing="1" w:after="100" w:afterAutospacing="1" w:line="240" w:lineRule="auto"/>
              <w:jc w:val="center"/>
              <w:rPr>
                <w:rFonts w:ascii="Arial" w:eastAsia="Times New Roman" w:hAnsi="Arial" w:cs="Arial"/>
                <w:sz w:val="26"/>
                <w:szCs w:val="26"/>
                <w:lang w:eastAsia="sr-Latn-RS"/>
              </w:rPr>
            </w:pPr>
            <w:r w:rsidRPr="00AF22EC">
              <w:rPr>
                <w:rFonts w:ascii="Arial" w:eastAsia="Times New Roman" w:hAnsi="Arial" w:cs="Arial"/>
                <w:sz w:val="26"/>
                <w:szCs w:val="26"/>
                <w:lang w:eastAsia="sr-Latn-RS"/>
              </w:rPr>
              <w:t>Извор и процена износа финансијских средстава</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А1</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Промотивна кампања подршке развоју предузетничког духа и предузетништву </w:t>
            </w:r>
            <w:r w:rsidRPr="00AF22EC">
              <w:rPr>
                <w:rFonts w:ascii="Arial" w:eastAsia="Times New Roman" w:hAnsi="Arial" w:cs="Arial"/>
                <w:sz w:val="26"/>
                <w:szCs w:val="26"/>
                <w:lang w:eastAsia="sr-Latn-RS"/>
              </w:rPr>
              <w:lastRenderedPageBreak/>
              <w:t>жена, младих и социјалном предузетништву</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ПКС</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Организатори догађаја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НАРР</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омладине и спорта </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2015</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 xml:space="preserve">Одржано најмање 15 промотивних догађаја у оквиру "Европске </w:t>
            </w:r>
            <w:r w:rsidRPr="00AF22EC">
              <w:rPr>
                <w:rFonts w:ascii="Arial" w:eastAsia="Times New Roman" w:hAnsi="Arial" w:cs="Arial"/>
                <w:sz w:val="26"/>
                <w:szCs w:val="26"/>
                <w:lang w:eastAsia="sr-Latn-RS"/>
              </w:rPr>
              <w:lastRenderedPageBreak/>
              <w:t>недеље предузетништва"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Организација промотивних активности на локалном нивоу кроз стандардизовани сет услуга</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Буџет Републике Србије - редовна средств</w:t>
            </w:r>
            <w:r w:rsidRPr="00AF22EC">
              <w:rPr>
                <w:rFonts w:ascii="Arial" w:eastAsia="Times New Roman" w:hAnsi="Arial" w:cs="Arial"/>
                <w:sz w:val="26"/>
                <w:szCs w:val="26"/>
                <w:lang w:eastAsia="sr-Latn-RS"/>
              </w:rPr>
              <w:lastRenderedPageBreak/>
              <w:t>а Буџет ПКС</w:t>
            </w:r>
          </w:p>
        </w:tc>
      </w:tr>
      <w:tr w:rsidR="00AF22EC" w:rsidRPr="00AF22EC" w:rsidTr="00740C20">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lastRenderedPageBreak/>
              <w:t>А2</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Успоставити стални дијалог и сарадњу са представницима удружења, форума и асоцијација предузетница, младих и мрежа за подршку социјалном предузетништву </w:t>
            </w:r>
          </w:p>
        </w:tc>
        <w:tc>
          <w:tcPr>
            <w:tcW w:w="2127"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привреде</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Министарство омладине и спорта</w:t>
            </w:r>
          </w:p>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Удружења, форуми и асоцијације</w:t>
            </w:r>
          </w:p>
        </w:tc>
        <w:tc>
          <w:tcPr>
            <w:tcW w:w="850"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2015</w:t>
            </w:r>
            <w:r w:rsidRPr="00AF22EC">
              <w:rPr>
                <w:rFonts w:ascii="Arial" w:eastAsia="Times New Roman" w:hAnsi="Arial" w:cs="Arial"/>
                <w:sz w:val="26"/>
                <w:szCs w:val="26"/>
                <w:lang w:eastAsia="sr-Latn-RS"/>
              </w:rPr>
              <w:br/>
              <w:t>2016</w:t>
            </w:r>
          </w:p>
        </w:tc>
        <w:tc>
          <w:tcPr>
            <w:tcW w:w="2268"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Установљени редовни засебни састанци најмање два пута годишње са представницима жена предузетника, младих предузетника и социјалних предузећа </w:t>
            </w:r>
          </w:p>
        </w:tc>
        <w:tc>
          <w:tcPr>
            <w:tcW w:w="1134" w:type="dxa"/>
            <w:tcBorders>
              <w:top w:val="outset" w:sz="6" w:space="0" w:color="auto"/>
              <w:left w:val="outset" w:sz="6" w:space="0" w:color="auto"/>
              <w:bottom w:val="outset" w:sz="6" w:space="0" w:color="auto"/>
              <w:right w:val="outset" w:sz="6" w:space="0" w:color="auto"/>
            </w:tcBorders>
            <w:hideMark/>
          </w:tcPr>
          <w:p w:rsidR="00AF22EC" w:rsidRPr="00AF22EC" w:rsidRDefault="00AF22EC" w:rsidP="00AF22EC">
            <w:pPr>
              <w:spacing w:before="100" w:beforeAutospacing="1" w:after="100" w:afterAutospacing="1" w:line="240" w:lineRule="auto"/>
              <w:rPr>
                <w:rFonts w:ascii="Arial" w:eastAsia="Times New Roman" w:hAnsi="Arial" w:cs="Arial"/>
                <w:sz w:val="26"/>
                <w:szCs w:val="26"/>
                <w:lang w:eastAsia="sr-Latn-RS"/>
              </w:rPr>
            </w:pPr>
            <w:r w:rsidRPr="00AF22EC">
              <w:rPr>
                <w:rFonts w:ascii="Arial" w:eastAsia="Times New Roman" w:hAnsi="Arial" w:cs="Arial"/>
                <w:sz w:val="26"/>
                <w:szCs w:val="26"/>
                <w:lang w:eastAsia="sr-Latn-RS"/>
              </w:rPr>
              <w:t>Буџет Републике Србије - редовна средства</w:t>
            </w:r>
          </w:p>
        </w:tc>
      </w:tr>
    </w:tbl>
    <w:p w:rsidR="005852CE" w:rsidRDefault="005852CE"/>
    <w:sectPr w:rsidR="00585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C"/>
    <w:rsid w:val="005852CE"/>
    <w:rsid w:val="00740C20"/>
    <w:rsid w:val="00AF22EC"/>
    <w:rsid w:val="00B661BB"/>
    <w:rsid w:val="00DF6BB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861D-163D-4E94-8F24-CEC1A4FB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AF22EC"/>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F22EC"/>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AF22EC"/>
  </w:style>
  <w:style w:type="paragraph" w:customStyle="1" w:styleId="podnaslovpropisa">
    <w:name w:val="podnaslovpropisa"/>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AF22EC"/>
  </w:style>
  <w:style w:type="paragraph" w:customStyle="1" w:styleId="Normal1">
    <w:name w:val="Normal1"/>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00---naslov-grupe-clanova-kurziv">
    <w:name w:val="wyq100---naslov-grupe-clanova-kurziv"/>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20---podnaslov-clana">
    <w:name w:val="wyq120---podnaslov-clana"/>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80---odsek">
    <w:name w:val="wyq080---odsek"/>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AF22EC"/>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173</Pages>
  <Words>33308</Words>
  <Characters>189861</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2</cp:revision>
  <dcterms:created xsi:type="dcterms:W3CDTF">2021-10-07T08:16:00Z</dcterms:created>
  <dcterms:modified xsi:type="dcterms:W3CDTF">2021-10-07T08:57:00Z</dcterms:modified>
</cp:coreProperties>
</file>